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25" w:rsidRDefault="007910E4" w:rsidP="007910E4">
      <w:pPr>
        <w:jc w:val="center"/>
        <w:rPr>
          <w:b/>
          <w:sz w:val="28"/>
          <w:szCs w:val="28"/>
        </w:rPr>
      </w:pPr>
      <w:r w:rsidRPr="007910E4">
        <w:rPr>
          <w:b/>
          <w:sz w:val="28"/>
          <w:szCs w:val="28"/>
        </w:rPr>
        <w:t>Krigen 1864 i historieundervisningen</w:t>
      </w:r>
    </w:p>
    <w:p w:rsidR="00082B4D" w:rsidRPr="00082B4D" w:rsidRDefault="00D2794B" w:rsidP="007910E4">
      <w:pPr>
        <w:rPr>
          <w:sz w:val="24"/>
          <w:szCs w:val="24"/>
        </w:rPr>
      </w:pPr>
      <w:r>
        <w:rPr>
          <w:sz w:val="24"/>
          <w:szCs w:val="24"/>
        </w:rPr>
        <w:t>A</w:t>
      </w:r>
      <w:r w:rsidR="00082B4D">
        <w:rPr>
          <w:sz w:val="24"/>
          <w:szCs w:val="24"/>
        </w:rPr>
        <w:t xml:space="preserve">f </w:t>
      </w:r>
      <w:r w:rsidR="00E51B2C">
        <w:rPr>
          <w:sz w:val="24"/>
          <w:szCs w:val="24"/>
        </w:rPr>
        <w:t>historielektor J</w:t>
      </w:r>
      <w:r w:rsidR="00082B4D" w:rsidRPr="00082B4D">
        <w:rPr>
          <w:sz w:val="24"/>
          <w:szCs w:val="24"/>
        </w:rPr>
        <w:t xml:space="preserve">ens </w:t>
      </w:r>
      <w:proofErr w:type="spellStart"/>
      <w:r w:rsidR="00082B4D" w:rsidRPr="00082B4D">
        <w:rPr>
          <w:sz w:val="24"/>
          <w:szCs w:val="24"/>
        </w:rPr>
        <w:t>Pietras</w:t>
      </w:r>
      <w:proofErr w:type="spellEnd"/>
      <w:r w:rsidR="00082B4D" w:rsidRPr="00082B4D">
        <w:rPr>
          <w:sz w:val="24"/>
          <w:szCs w:val="24"/>
        </w:rPr>
        <w:t>, UCSJ – læreruddannelsen i Roskilde</w:t>
      </w:r>
    </w:p>
    <w:p w:rsidR="000D0546" w:rsidRPr="000D0546" w:rsidRDefault="000D0546" w:rsidP="007910E4">
      <w:pPr>
        <w:rPr>
          <w:b/>
          <w:sz w:val="24"/>
          <w:szCs w:val="24"/>
        </w:rPr>
      </w:pPr>
      <w:r w:rsidRPr="000D0546">
        <w:rPr>
          <w:b/>
          <w:sz w:val="24"/>
          <w:szCs w:val="24"/>
        </w:rPr>
        <w:t xml:space="preserve">Året 2014 – </w:t>
      </w:r>
      <w:r w:rsidR="00BE7B77">
        <w:rPr>
          <w:b/>
          <w:sz w:val="24"/>
          <w:szCs w:val="24"/>
        </w:rPr>
        <w:t xml:space="preserve">de </w:t>
      </w:r>
      <w:r w:rsidR="004456F8">
        <w:rPr>
          <w:b/>
          <w:sz w:val="24"/>
          <w:szCs w:val="24"/>
        </w:rPr>
        <w:t xml:space="preserve">mange </w:t>
      </w:r>
      <w:r w:rsidR="00BE7B77">
        <w:rPr>
          <w:b/>
          <w:sz w:val="24"/>
          <w:szCs w:val="24"/>
        </w:rPr>
        <w:t xml:space="preserve">historiske </w:t>
      </w:r>
      <w:r w:rsidRPr="000D0546">
        <w:rPr>
          <w:b/>
          <w:sz w:val="24"/>
          <w:szCs w:val="24"/>
        </w:rPr>
        <w:t>jubilæers år</w:t>
      </w:r>
    </w:p>
    <w:p w:rsidR="0070641D" w:rsidRDefault="007910E4" w:rsidP="0070641D">
      <w:pPr>
        <w:rPr>
          <w:sz w:val="24"/>
          <w:szCs w:val="24"/>
        </w:rPr>
      </w:pPr>
      <w:r>
        <w:rPr>
          <w:sz w:val="24"/>
          <w:szCs w:val="24"/>
        </w:rPr>
        <w:t>Året 2014 er et rigtig jubilæumsår.</w:t>
      </w:r>
      <w:r w:rsidR="0058174F">
        <w:rPr>
          <w:sz w:val="24"/>
          <w:szCs w:val="24"/>
        </w:rPr>
        <w:t xml:space="preserve"> En af de</w:t>
      </w:r>
      <w:r w:rsidR="00F92F6D">
        <w:rPr>
          <w:sz w:val="24"/>
          <w:szCs w:val="24"/>
        </w:rPr>
        <w:t xml:space="preserve"> mest</w:t>
      </w:r>
      <w:r w:rsidR="0058174F">
        <w:rPr>
          <w:sz w:val="24"/>
          <w:szCs w:val="24"/>
        </w:rPr>
        <w:t xml:space="preserve"> væsentlige markeringer</w:t>
      </w:r>
      <w:r w:rsidR="00F87B98">
        <w:rPr>
          <w:sz w:val="24"/>
          <w:szCs w:val="24"/>
        </w:rPr>
        <w:t xml:space="preserve"> i år</w:t>
      </w:r>
      <w:r w:rsidR="0058174F">
        <w:rPr>
          <w:sz w:val="24"/>
          <w:szCs w:val="24"/>
        </w:rPr>
        <w:t xml:space="preserve"> har været krigen 1864.</w:t>
      </w:r>
      <w:r>
        <w:rPr>
          <w:sz w:val="24"/>
          <w:szCs w:val="24"/>
        </w:rPr>
        <w:t xml:space="preserve"> </w:t>
      </w:r>
    </w:p>
    <w:p w:rsidR="0070641D" w:rsidRDefault="0070641D" w:rsidP="0070641D">
      <w:pPr>
        <w:jc w:val="center"/>
        <w:rPr>
          <w:sz w:val="24"/>
          <w:szCs w:val="24"/>
        </w:rPr>
      </w:pPr>
      <w:r>
        <w:rPr>
          <w:noProof/>
          <w:sz w:val="24"/>
          <w:szCs w:val="24"/>
          <w:lang w:eastAsia="da-DK"/>
        </w:rPr>
        <w:drawing>
          <wp:inline distT="0" distB="0" distL="0" distR="0">
            <wp:extent cx="4286250" cy="28575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bboel3.jpg"/>
                    <pic:cNvPicPr/>
                  </pic:nvPicPr>
                  <pic:blipFill>
                    <a:blip r:embed="rId8">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inline>
        </w:drawing>
      </w:r>
    </w:p>
    <w:p w:rsidR="0070641D" w:rsidRPr="0070641D" w:rsidRDefault="002F4862" w:rsidP="0070641D">
      <w:pPr>
        <w:jc w:val="center"/>
        <w:rPr>
          <w:i/>
          <w:sz w:val="24"/>
          <w:szCs w:val="24"/>
        </w:rPr>
      </w:pPr>
      <w:r>
        <w:rPr>
          <w:i/>
          <w:sz w:val="24"/>
          <w:szCs w:val="24"/>
        </w:rPr>
        <w:t>Sejrrige p</w:t>
      </w:r>
      <w:r w:rsidR="0070641D">
        <w:rPr>
          <w:i/>
          <w:sz w:val="24"/>
          <w:szCs w:val="24"/>
        </w:rPr>
        <w:t xml:space="preserve">reussiske soldater poserer ved den sønderskudte Dybbøl Mølle kort efter stormen </w:t>
      </w:r>
      <w:r>
        <w:rPr>
          <w:i/>
          <w:sz w:val="24"/>
          <w:szCs w:val="24"/>
        </w:rPr>
        <w:t xml:space="preserve">og det danske nederlag </w:t>
      </w:r>
      <w:bookmarkStart w:id="0" w:name="_GoBack"/>
      <w:bookmarkEnd w:id="0"/>
      <w:r w:rsidR="0070641D">
        <w:rPr>
          <w:i/>
          <w:sz w:val="24"/>
          <w:szCs w:val="24"/>
        </w:rPr>
        <w:t>18. april 1864</w:t>
      </w:r>
    </w:p>
    <w:p w:rsidR="0058174F" w:rsidRDefault="007910E4" w:rsidP="0070641D">
      <w:pPr>
        <w:ind w:firstLine="1304"/>
        <w:rPr>
          <w:sz w:val="24"/>
          <w:szCs w:val="24"/>
        </w:rPr>
      </w:pPr>
      <w:r>
        <w:rPr>
          <w:sz w:val="24"/>
          <w:szCs w:val="24"/>
        </w:rPr>
        <w:t xml:space="preserve">I 2014 er en lang række danske og internationale historiske </w:t>
      </w:r>
      <w:r w:rsidR="00F2431A">
        <w:rPr>
          <w:sz w:val="24"/>
          <w:szCs w:val="24"/>
        </w:rPr>
        <w:t xml:space="preserve">personer og </w:t>
      </w:r>
      <w:r>
        <w:rPr>
          <w:sz w:val="24"/>
          <w:szCs w:val="24"/>
        </w:rPr>
        <w:t xml:space="preserve">begivenheder blevet fejret på behørig vis. Det gælder </w:t>
      </w:r>
      <w:r w:rsidR="0058174F">
        <w:rPr>
          <w:sz w:val="24"/>
          <w:szCs w:val="24"/>
        </w:rPr>
        <w:t xml:space="preserve">internationalt </w:t>
      </w:r>
      <w:r>
        <w:rPr>
          <w:sz w:val="24"/>
          <w:szCs w:val="24"/>
        </w:rPr>
        <w:t>fx 2000-året for den første romerske kejsers død – kejser Augustus, som døde i år 14 e.v.t.. Det gælder</w:t>
      </w:r>
      <w:r w:rsidR="00F2431A">
        <w:rPr>
          <w:sz w:val="24"/>
          <w:szCs w:val="24"/>
        </w:rPr>
        <w:t xml:space="preserve"> i</w:t>
      </w:r>
      <w:r>
        <w:rPr>
          <w:sz w:val="24"/>
          <w:szCs w:val="24"/>
        </w:rPr>
        <w:t xml:space="preserve"> europæisk kontekst 100-året for første verdenskrigs begyndelse</w:t>
      </w:r>
      <w:r w:rsidR="005C2E40">
        <w:rPr>
          <w:sz w:val="24"/>
          <w:szCs w:val="24"/>
        </w:rPr>
        <w:t xml:space="preserve"> august</w:t>
      </w:r>
      <w:r w:rsidR="00F2431A">
        <w:rPr>
          <w:sz w:val="24"/>
          <w:szCs w:val="24"/>
        </w:rPr>
        <w:t xml:space="preserve"> 1914</w:t>
      </w:r>
      <w:r>
        <w:rPr>
          <w:sz w:val="24"/>
          <w:szCs w:val="24"/>
        </w:rPr>
        <w:t>, som bl.a. Golden Days</w:t>
      </w:r>
      <w:r w:rsidR="0058174F">
        <w:rPr>
          <w:sz w:val="24"/>
          <w:szCs w:val="24"/>
        </w:rPr>
        <w:t xml:space="preserve"> kulturhistorisk</w:t>
      </w:r>
      <w:r>
        <w:rPr>
          <w:sz w:val="24"/>
          <w:szCs w:val="24"/>
        </w:rPr>
        <w:t xml:space="preserve"> tematiserede i september. Det gælder også i europæisk optik 25-året for Berlinmurens fald 9. november 1989, den tyske genforening og afslutningen af den kolde krig.</w:t>
      </w:r>
    </w:p>
    <w:p w:rsidR="007910E4" w:rsidRDefault="007910E4" w:rsidP="0058174F">
      <w:pPr>
        <w:ind w:firstLine="1304"/>
        <w:rPr>
          <w:sz w:val="24"/>
          <w:szCs w:val="24"/>
        </w:rPr>
      </w:pPr>
      <w:r>
        <w:rPr>
          <w:sz w:val="24"/>
          <w:szCs w:val="24"/>
        </w:rPr>
        <w:t>I dansk national kontekst har vi fejret</w:t>
      </w:r>
      <w:r w:rsidR="0058174F">
        <w:rPr>
          <w:sz w:val="24"/>
          <w:szCs w:val="24"/>
        </w:rPr>
        <w:t xml:space="preserve"> og markeret</w:t>
      </w:r>
      <w:r>
        <w:rPr>
          <w:sz w:val="24"/>
          <w:szCs w:val="24"/>
        </w:rPr>
        <w:t xml:space="preserve"> tabet af Norge 1814 og ikke mindst 150-året for nederlaget ved Dybbøl i april 1864.</w:t>
      </w:r>
    </w:p>
    <w:p w:rsidR="00E07733" w:rsidRDefault="007910E4" w:rsidP="007910E4">
      <w:pPr>
        <w:rPr>
          <w:sz w:val="24"/>
          <w:szCs w:val="24"/>
        </w:rPr>
      </w:pPr>
      <w:r>
        <w:rPr>
          <w:sz w:val="24"/>
          <w:szCs w:val="24"/>
        </w:rPr>
        <w:t xml:space="preserve">Det er tankevækkende at de internationale </w:t>
      </w:r>
      <w:r w:rsidR="00F2431A">
        <w:rPr>
          <w:sz w:val="24"/>
          <w:szCs w:val="24"/>
        </w:rPr>
        <w:t>fejringer alle har omhandlet personer eller begivenheder</w:t>
      </w:r>
      <w:r w:rsidR="00E07733">
        <w:rPr>
          <w:sz w:val="24"/>
          <w:szCs w:val="24"/>
        </w:rPr>
        <w:t>,</w:t>
      </w:r>
      <w:r w:rsidR="00F2431A">
        <w:rPr>
          <w:sz w:val="24"/>
          <w:szCs w:val="24"/>
        </w:rPr>
        <w:t xml:space="preserve"> der har haft stor</w:t>
      </w:r>
      <w:r w:rsidR="00E07733">
        <w:rPr>
          <w:sz w:val="24"/>
          <w:szCs w:val="24"/>
        </w:rPr>
        <w:t xml:space="preserve"> </w:t>
      </w:r>
      <w:r w:rsidR="00F2431A">
        <w:rPr>
          <w:sz w:val="24"/>
          <w:szCs w:val="24"/>
        </w:rPr>
        <w:t>virkningshistorie.</w:t>
      </w:r>
      <w:r w:rsidR="00E07733">
        <w:rPr>
          <w:sz w:val="24"/>
          <w:szCs w:val="24"/>
        </w:rPr>
        <w:t xml:space="preserve"> Augustus’ regeringstid lagde grunden til Pax Romana og Romerrigets blomstring. Læren af </w:t>
      </w:r>
      <w:r w:rsidR="0058174F">
        <w:rPr>
          <w:sz w:val="24"/>
          <w:szCs w:val="24"/>
        </w:rPr>
        <w:t xml:space="preserve">den forfærdelige </w:t>
      </w:r>
      <w:r w:rsidR="00E07733">
        <w:rPr>
          <w:sz w:val="24"/>
          <w:szCs w:val="24"/>
        </w:rPr>
        <w:t>første verdenskrig var bl.a. parolen aldrig mere krig og en viden om at krige i den industrielle og postindustrielle tidsalder var og</w:t>
      </w:r>
      <w:r w:rsidR="005C2E40">
        <w:rPr>
          <w:sz w:val="24"/>
          <w:szCs w:val="24"/>
        </w:rPr>
        <w:t xml:space="preserve"> fortsat</w:t>
      </w:r>
      <w:r w:rsidR="00E07733">
        <w:rPr>
          <w:sz w:val="24"/>
          <w:szCs w:val="24"/>
        </w:rPr>
        <w:t xml:space="preserve"> vil blive altødelæggende krige</w:t>
      </w:r>
      <w:r w:rsidR="005C2E40">
        <w:rPr>
          <w:sz w:val="24"/>
          <w:szCs w:val="24"/>
        </w:rPr>
        <w:t xml:space="preserve">, som vi </w:t>
      </w:r>
      <w:r w:rsidR="0058174F">
        <w:rPr>
          <w:sz w:val="24"/>
          <w:szCs w:val="24"/>
        </w:rPr>
        <w:t xml:space="preserve">fortsat </w:t>
      </w:r>
      <w:r w:rsidR="005C2E40">
        <w:rPr>
          <w:sz w:val="24"/>
          <w:szCs w:val="24"/>
        </w:rPr>
        <w:t>skal prøve at lære af og forebygge</w:t>
      </w:r>
      <w:r w:rsidR="00E07733">
        <w:rPr>
          <w:sz w:val="24"/>
          <w:szCs w:val="24"/>
        </w:rPr>
        <w:t>.</w:t>
      </w:r>
    </w:p>
    <w:p w:rsidR="00E07733" w:rsidRDefault="00E07733" w:rsidP="007910E4">
      <w:pPr>
        <w:rPr>
          <w:sz w:val="24"/>
          <w:szCs w:val="24"/>
        </w:rPr>
      </w:pPr>
      <w:r>
        <w:rPr>
          <w:sz w:val="24"/>
          <w:szCs w:val="24"/>
        </w:rPr>
        <w:lastRenderedPageBreak/>
        <w:t xml:space="preserve">Murens fald 1989 opfattes som en sejr for demokratiet og et meget vigtigt skridt frem mod europæisk integration.  </w:t>
      </w:r>
      <w:r w:rsidR="00F2431A">
        <w:rPr>
          <w:sz w:val="24"/>
          <w:szCs w:val="24"/>
        </w:rPr>
        <w:t xml:space="preserve"> </w:t>
      </w:r>
    </w:p>
    <w:p w:rsidR="00F2431A" w:rsidRDefault="00F2431A" w:rsidP="00F92F6D">
      <w:pPr>
        <w:ind w:firstLine="1304"/>
        <w:rPr>
          <w:sz w:val="24"/>
          <w:szCs w:val="24"/>
        </w:rPr>
      </w:pPr>
      <w:r>
        <w:rPr>
          <w:sz w:val="24"/>
          <w:szCs w:val="24"/>
        </w:rPr>
        <w:t xml:space="preserve">De </w:t>
      </w:r>
      <w:r w:rsidR="0058174F">
        <w:rPr>
          <w:sz w:val="24"/>
          <w:szCs w:val="24"/>
        </w:rPr>
        <w:t xml:space="preserve">omtalte </w:t>
      </w:r>
      <w:r>
        <w:rPr>
          <w:sz w:val="24"/>
          <w:szCs w:val="24"/>
        </w:rPr>
        <w:t xml:space="preserve">danske </w:t>
      </w:r>
      <w:r w:rsidR="005C2E40">
        <w:rPr>
          <w:sz w:val="24"/>
          <w:szCs w:val="24"/>
        </w:rPr>
        <w:t xml:space="preserve">markeringer </w:t>
      </w:r>
      <w:r>
        <w:rPr>
          <w:sz w:val="24"/>
          <w:szCs w:val="24"/>
        </w:rPr>
        <w:t xml:space="preserve">har </w:t>
      </w:r>
      <w:r w:rsidR="005C2E40">
        <w:rPr>
          <w:sz w:val="24"/>
          <w:szCs w:val="24"/>
        </w:rPr>
        <w:t xml:space="preserve">i 2014 </w:t>
      </w:r>
      <w:r>
        <w:rPr>
          <w:sz w:val="24"/>
          <w:szCs w:val="24"/>
        </w:rPr>
        <w:t>handlet om reduceringer af det danske rige, som følge af krige og nederlag.</w:t>
      </w:r>
      <w:r w:rsidR="005C2E40">
        <w:rPr>
          <w:sz w:val="24"/>
          <w:szCs w:val="24"/>
        </w:rPr>
        <w:t xml:space="preserve"> Altså også begivenheder af stor væsentlighed og virkning for det danske rige og den danske mentalitet og selvforståelse. </w:t>
      </w:r>
      <w:r>
        <w:rPr>
          <w:sz w:val="24"/>
          <w:szCs w:val="24"/>
        </w:rPr>
        <w:t xml:space="preserve"> I Danmark har vi tilsyneladende udviklet en nederlags</w:t>
      </w:r>
      <w:r w:rsidR="000D215D">
        <w:rPr>
          <w:sz w:val="24"/>
          <w:szCs w:val="24"/>
        </w:rPr>
        <w:t>nationalisme</w:t>
      </w:r>
      <w:r w:rsidR="000D215D">
        <w:rPr>
          <w:rStyle w:val="Fodnotehenvisning"/>
          <w:sz w:val="24"/>
          <w:szCs w:val="24"/>
        </w:rPr>
        <w:footnoteReference w:id="1"/>
      </w:r>
      <w:r w:rsidR="000D215D">
        <w:rPr>
          <w:sz w:val="24"/>
          <w:szCs w:val="24"/>
        </w:rPr>
        <w:t xml:space="preserve"> – en hel nederlagsidentitet</w:t>
      </w:r>
      <w:r>
        <w:rPr>
          <w:sz w:val="24"/>
          <w:szCs w:val="24"/>
        </w:rPr>
        <w:t>, hvor vi</w:t>
      </w:r>
      <w:r w:rsidR="005C2E40">
        <w:rPr>
          <w:sz w:val="24"/>
          <w:szCs w:val="24"/>
        </w:rPr>
        <w:t xml:space="preserve"> jævnligt</w:t>
      </w:r>
      <w:r>
        <w:rPr>
          <w:sz w:val="24"/>
          <w:szCs w:val="24"/>
        </w:rPr>
        <w:t xml:space="preserve"> ritualiserer og ofte romantiserer vores militære nederlag</w:t>
      </w:r>
      <w:r w:rsidR="005C2E40">
        <w:rPr>
          <w:sz w:val="24"/>
          <w:szCs w:val="24"/>
        </w:rPr>
        <w:t xml:space="preserve">. Dette </w:t>
      </w:r>
      <w:r>
        <w:rPr>
          <w:sz w:val="24"/>
          <w:szCs w:val="24"/>
        </w:rPr>
        <w:t>kan</w:t>
      </w:r>
      <w:r w:rsidR="005C2E40">
        <w:rPr>
          <w:sz w:val="24"/>
          <w:szCs w:val="24"/>
        </w:rPr>
        <w:t xml:space="preserve"> måske</w:t>
      </w:r>
      <w:r>
        <w:rPr>
          <w:sz w:val="24"/>
          <w:szCs w:val="24"/>
        </w:rPr>
        <w:t xml:space="preserve"> hænge sammen med, at Danmark ikke alene, men kun som del af større koalitioner, har vundet et større slag – endsige en krig siden Christian 4. forsmædelige deltagelse i </w:t>
      </w:r>
      <w:r w:rsidR="00E07733">
        <w:rPr>
          <w:sz w:val="24"/>
          <w:szCs w:val="24"/>
        </w:rPr>
        <w:t>K</w:t>
      </w:r>
      <w:r>
        <w:rPr>
          <w:sz w:val="24"/>
          <w:szCs w:val="24"/>
        </w:rPr>
        <w:t>ejserkrigen i 1625-29.</w:t>
      </w:r>
    </w:p>
    <w:p w:rsidR="0058174F" w:rsidRDefault="0058174F" w:rsidP="007910E4">
      <w:pPr>
        <w:rPr>
          <w:sz w:val="24"/>
          <w:szCs w:val="24"/>
        </w:rPr>
      </w:pPr>
      <w:r>
        <w:rPr>
          <w:sz w:val="24"/>
          <w:szCs w:val="24"/>
        </w:rPr>
        <w:t xml:space="preserve">Endnu en pointe i forhold til de mange jubilæer og den måde de fejres på er, at de </w:t>
      </w:r>
      <w:r w:rsidR="001C489B">
        <w:rPr>
          <w:sz w:val="24"/>
          <w:szCs w:val="24"/>
        </w:rPr>
        <w:t xml:space="preserve">ofte </w:t>
      </w:r>
      <w:r>
        <w:rPr>
          <w:sz w:val="24"/>
          <w:szCs w:val="24"/>
        </w:rPr>
        <w:t xml:space="preserve">er udtryk for nutidig </w:t>
      </w:r>
      <w:r w:rsidR="00F92F6D">
        <w:rPr>
          <w:sz w:val="24"/>
          <w:szCs w:val="24"/>
        </w:rPr>
        <w:t xml:space="preserve">stratetisk </w:t>
      </w:r>
      <w:r>
        <w:rPr>
          <w:sz w:val="24"/>
          <w:szCs w:val="24"/>
        </w:rPr>
        <w:t>politisk brug af historien</w:t>
      </w:r>
      <w:r w:rsidR="000D215D">
        <w:rPr>
          <w:rStyle w:val="Fodnotehenvisning"/>
          <w:sz w:val="24"/>
          <w:szCs w:val="24"/>
        </w:rPr>
        <w:footnoteReference w:id="2"/>
      </w:r>
      <w:r w:rsidR="00BE7B77">
        <w:rPr>
          <w:sz w:val="24"/>
          <w:szCs w:val="24"/>
        </w:rPr>
        <w:t>, dvs. selektiv historiebrug</w:t>
      </w:r>
      <w:r>
        <w:rPr>
          <w:sz w:val="24"/>
          <w:szCs w:val="24"/>
        </w:rPr>
        <w:t xml:space="preserve">. </w:t>
      </w:r>
    </w:p>
    <w:p w:rsidR="00867F82" w:rsidRPr="00867F82" w:rsidRDefault="00867F82" w:rsidP="007910E4">
      <w:pPr>
        <w:rPr>
          <w:b/>
          <w:sz w:val="24"/>
          <w:szCs w:val="24"/>
        </w:rPr>
      </w:pPr>
      <w:r w:rsidRPr="00867F82">
        <w:rPr>
          <w:b/>
          <w:sz w:val="24"/>
          <w:szCs w:val="24"/>
        </w:rPr>
        <w:t>Fokus på krigen 1864</w:t>
      </w:r>
    </w:p>
    <w:p w:rsidR="005C2E40" w:rsidRDefault="00F2431A" w:rsidP="00F92F6D">
      <w:pPr>
        <w:ind w:firstLine="1304"/>
        <w:rPr>
          <w:sz w:val="24"/>
          <w:szCs w:val="24"/>
        </w:rPr>
      </w:pPr>
      <w:r>
        <w:rPr>
          <w:sz w:val="24"/>
          <w:szCs w:val="24"/>
        </w:rPr>
        <w:t xml:space="preserve">Sigtet med denne </w:t>
      </w:r>
      <w:r w:rsidR="00BE7B77">
        <w:rPr>
          <w:sz w:val="24"/>
          <w:szCs w:val="24"/>
        </w:rPr>
        <w:t>korte</w:t>
      </w:r>
      <w:r>
        <w:rPr>
          <w:sz w:val="24"/>
          <w:szCs w:val="24"/>
        </w:rPr>
        <w:t xml:space="preserve"> artikel er</w:t>
      </w:r>
      <w:r w:rsidR="00E07733">
        <w:rPr>
          <w:sz w:val="24"/>
          <w:szCs w:val="24"/>
        </w:rPr>
        <w:t xml:space="preserve"> krigen 1864</w:t>
      </w:r>
      <w:r w:rsidR="005C2E40">
        <w:rPr>
          <w:sz w:val="24"/>
          <w:szCs w:val="24"/>
        </w:rPr>
        <w:t xml:space="preserve"> som case i historieundervisningen</w:t>
      </w:r>
      <w:r w:rsidR="000D215D">
        <w:rPr>
          <w:sz w:val="24"/>
          <w:szCs w:val="24"/>
        </w:rPr>
        <w:t xml:space="preserve"> -</w:t>
      </w:r>
      <w:r w:rsidR="00867F82">
        <w:rPr>
          <w:sz w:val="24"/>
          <w:szCs w:val="24"/>
        </w:rPr>
        <w:t>primært i udskolingen</w:t>
      </w:r>
      <w:r w:rsidR="005C2E40">
        <w:rPr>
          <w:sz w:val="24"/>
          <w:szCs w:val="24"/>
        </w:rPr>
        <w:t>. En krig</w:t>
      </w:r>
      <w:r w:rsidR="00E07733">
        <w:rPr>
          <w:sz w:val="24"/>
          <w:szCs w:val="24"/>
        </w:rPr>
        <w:t xml:space="preserve"> som to gange i 2014 har skabt</w:t>
      </w:r>
      <w:r w:rsidR="0056139A">
        <w:rPr>
          <w:sz w:val="24"/>
          <w:szCs w:val="24"/>
        </w:rPr>
        <w:t xml:space="preserve"> store medie</w:t>
      </w:r>
      <w:r w:rsidR="00E07733">
        <w:rPr>
          <w:sz w:val="24"/>
          <w:szCs w:val="24"/>
        </w:rPr>
        <w:t xml:space="preserve">overskrifter. </w:t>
      </w:r>
    </w:p>
    <w:p w:rsidR="0056139A" w:rsidRDefault="00E07733" w:rsidP="00F92F6D">
      <w:pPr>
        <w:ind w:firstLine="1304"/>
        <w:rPr>
          <w:sz w:val="24"/>
          <w:szCs w:val="24"/>
        </w:rPr>
      </w:pPr>
      <w:r>
        <w:rPr>
          <w:sz w:val="24"/>
          <w:szCs w:val="24"/>
        </w:rPr>
        <w:t xml:space="preserve">Første gang i foråret i forbindelse med </w:t>
      </w:r>
      <w:r w:rsidR="007E086C">
        <w:rPr>
          <w:sz w:val="24"/>
          <w:szCs w:val="24"/>
        </w:rPr>
        <w:t xml:space="preserve">den store </w:t>
      </w:r>
      <w:r>
        <w:rPr>
          <w:sz w:val="24"/>
          <w:szCs w:val="24"/>
        </w:rPr>
        <w:t>marker</w:t>
      </w:r>
      <w:r w:rsidR="007E086C">
        <w:rPr>
          <w:sz w:val="24"/>
          <w:szCs w:val="24"/>
        </w:rPr>
        <w:t>ing</w:t>
      </w:r>
      <w:r>
        <w:rPr>
          <w:sz w:val="24"/>
          <w:szCs w:val="24"/>
        </w:rPr>
        <w:t xml:space="preserve"> af 150-årsdagen for stormen på og nederlaget ved Dybbøl 18. april 1864</w:t>
      </w:r>
      <w:r w:rsidR="0056139A">
        <w:rPr>
          <w:sz w:val="24"/>
          <w:szCs w:val="24"/>
        </w:rPr>
        <w:t xml:space="preserve">. Her mindede det </w:t>
      </w:r>
      <w:r>
        <w:rPr>
          <w:sz w:val="24"/>
          <w:szCs w:val="24"/>
        </w:rPr>
        <w:t>officielle Danmark i samarbejde med tyske</w:t>
      </w:r>
      <w:r w:rsidR="0056139A">
        <w:rPr>
          <w:sz w:val="24"/>
          <w:szCs w:val="24"/>
        </w:rPr>
        <w:t xml:space="preserve"> repræsentanter krigen og nederlaget og hyldede det samarbejde og den udsoning – forsoning, der siden specielt 1955 (København-Boon-erklæringerne</w:t>
      </w:r>
      <w:r w:rsidR="00053224">
        <w:rPr>
          <w:sz w:val="24"/>
          <w:szCs w:val="24"/>
        </w:rPr>
        <w:t xml:space="preserve"> </w:t>
      </w:r>
      <w:r w:rsidR="007E086C">
        <w:rPr>
          <w:sz w:val="24"/>
          <w:szCs w:val="24"/>
        </w:rPr>
        <w:t xml:space="preserve">bl.a. </w:t>
      </w:r>
      <w:r w:rsidR="00053224">
        <w:rPr>
          <w:sz w:val="24"/>
          <w:szCs w:val="24"/>
        </w:rPr>
        <w:t>om sikring af de nationale mindretal syd og nord ofr grænsen</w:t>
      </w:r>
      <w:r w:rsidR="0056139A">
        <w:rPr>
          <w:sz w:val="24"/>
          <w:szCs w:val="24"/>
        </w:rPr>
        <w:t>) er sket mellem de to lande</w:t>
      </w:r>
      <w:r w:rsidR="000D215D">
        <w:rPr>
          <w:rStyle w:val="Fodnotehenvisning"/>
          <w:sz w:val="24"/>
          <w:szCs w:val="24"/>
        </w:rPr>
        <w:footnoteReference w:id="3"/>
      </w:r>
      <w:r w:rsidR="0056139A">
        <w:rPr>
          <w:sz w:val="24"/>
          <w:szCs w:val="24"/>
        </w:rPr>
        <w:t>.</w:t>
      </w:r>
    </w:p>
    <w:p w:rsidR="0056139A" w:rsidRDefault="0056139A" w:rsidP="007910E4">
      <w:pPr>
        <w:rPr>
          <w:sz w:val="24"/>
          <w:szCs w:val="24"/>
        </w:rPr>
      </w:pPr>
      <w:r>
        <w:rPr>
          <w:sz w:val="24"/>
          <w:szCs w:val="24"/>
        </w:rPr>
        <w:t>Her i efteråret er det Ole Bornedals store episke historiedrama ”1864”</w:t>
      </w:r>
      <w:r w:rsidR="009C2DED">
        <w:rPr>
          <w:rStyle w:val="Fodnotehenvisning"/>
          <w:sz w:val="24"/>
          <w:szCs w:val="24"/>
        </w:rPr>
        <w:footnoteReference w:id="4"/>
      </w:r>
      <w:r>
        <w:rPr>
          <w:sz w:val="24"/>
          <w:szCs w:val="24"/>
        </w:rPr>
        <w:t>, bragt på DR1 i primetime hver søndag aften</w:t>
      </w:r>
      <w:r w:rsidR="007937C6">
        <w:rPr>
          <w:sz w:val="24"/>
          <w:szCs w:val="24"/>
        </w:rPr>
        <w:t xml:space="preserve"> siden oktober</w:t>
      </w:r>
      <w:r>
        <w:rPr>
          <w:sz w:val="24"/>
          <w:szCs w:val="24"/>
        </w:rPr>
        <w:t xml:space="preserve"> kl. 20.00, der har trukket</w:t>
      </w:r>
      <w:r w:rsidR="00BA01F2">
        <w:rPr>
          <w:sz w:val="24"/>
          <w:szCs w:val="24"/>
        </w:rPr>
        <w:t xml:space="preserve"> de store </w:t>
      </w:r>
      <w:r>
        <w:rPr>
          <w:sz w:val="24"/>
          <w:szCs w:val="24"/>
        </w:rPr>
        <w:t>overskrifter. Serien er en nutid</w:t>
      </w:r>
      <w:r w:rsidR="00BA01F2">
        <w:rPr>
          <w:sz w:val="24"/>
          <w:szCs w:val="24"/>
        </w:rPr>
        <w:t>ig</w:t>
      </w:r>
      <w:r>
        <w:rPr>
          <w:sz w:val="24"/>
          <w:szCs w:val="24"/>
        </w:rPr>
        <w:t xml:space="preserve"> storslået </w:t>
      </w:r>
      <w:r w:rsidR="00BA01F2">
        <w:rPr>
          <w:sz w:val="24"/>
          <w:szCs w:val="24"/>
        </w:rPr>
        <w:t xml:space="preserve">filmet </w:t>
      </w:r>
      <w:r>
        <w:rPr>
          <w:sz w:val="24"/>
          <w:szCs w:val="24"/>
        </w:rPr>
        <w:t>tolkning af de historiske begivenheder og fortjener</w:t>
      </w:r>
      <w:r w:rsidR="005C2E40">
        <w:rPr>
          <w:sz w:val="24"/>
          <w:szCs w:val="24"/>
        </w:rPr>
        <w:t xml:space="preserve"> derfor</w:t>
      </w:r>
      <w:r>
        <w:rPr>
          <w:sz w:val="24"/>
          <w:szCs w:val="24"/>
        </w:rPr>
        <w:t xml:space="preserve"> megen ros. Dog har serien også sine åbenlyse mangler og svagheder</w:t>
      </w:r>
      <w:r w:rsidR="00FE768B">
        <w:rPr>
          <w:rStyle w:val="Fodnotehenvisning"/>
          <w:sz w:val="24"/>
          <w:szCs w:val="24"/>
        </w:rPr>
        <w:footnoteReference w:id="5"/>
      </w:r>
      <w:r>
        <w:rPr>
          <w:sz w:val="24"/>
          <w:szCs w:val="24"/>
        </w:rPr>
        <w:t xml:space="preserve">. Brugt som kilde er ”1864” </w:t>
      </w:r>
      <w:r w:rsidR="005C2E40">
        <w:rPr>
          <w:sz w:val="24"/>
          <w:szCs w:val="24"/>
        </w:rPr>
        <w:t xml:space="preserve">meget velegnet </w:t>
      </w:r>
      <w:r>
        <w:rPr>
          <w:sz w:val="24"/>
          <w:szCs w:val="24"/>
        </w:rPr>
        <w:t>som case i arbejdet med historisk metode, da den kan indgå i megen god undervisning både som en beretning</w:t>
      </w:r>
      <w:r w:rsidR="00BA01F2">
        <w:rPr>
          <w:sz w:val="24"/>
          <w:szCs w:val="24"/>
        </w:rPr>
        <w:t xml:space="preserve"> om begivenhederne i 1864</w:t>
      </w:r>
      <w:r w:rsidR="007937C6">
        <w:rPr>
          <w:sz w:val="24"/>
          <w:szCs w:val="24"/>
        </w:rPr>
        <w:t xml:space="preserve"> </w:t>
      </w:r>
      <w:r>
        <w:rPr>
          <w:sz w:val="24"/>
          <w:szCs w:val="24"/>
        </w:rPr>
        <w:t>og ikke mindst som et levn</w:t>
      </w:r>
      <w:r w:rsidR="00BA01F2">
        <w:rPr>
          <w:sz w:val="24"/>
          <w:szCs w:val="24"/>
        </w:rPr>
        <w:t>,</w:t>
      </w:r>
      <w:r w:rsidR="007937C6">
        <w:rPr>
          <w:sz w:val="24"/>
          <w:szCs w:val="24"/>
        </w:rPr>
        <w:t xml:space="preserve"> som </w:t>
      </w:r>
      <w:r>
        <w:rPr>
          <w:sz w:val="24"/>
          <w:szCs w:val="24"/>
        </w:rPr>
        <w:t xml:space="preserve">en </w:t>
      </w:r>
      <w:r w:rsidR="005C2E40">
        <w:rPr>
          <w:sz w:val="24"/>
          <w:szCs w:val="24"/>
        </w:rPr>
        <w:t>nutidig, positioneret</w:t>
      </w:r>
      <w:r w:rsidR="00053224">
        <w:rPr>
          <w:sz w:val="24"/>
          <w:szCs w:val="24"/>
        </w:rPr>
        <w:t xml:space="preserve"> delvis personlig</w:t>
      </w:r>
      <w:r w:rsidR="005C2E40">
        <w:rPr>
          <w:sz w:val="24"/>
          <w:szCs w:val="24"/>
        </w:rPr>
        <w:t xml:space="preserve"> </w:t>
      </w:r>
      <w:r>
        <w:rPr>
          <w:sz w:val="24"/>
          <w:szCs w:val="24"/>
        </w:rPr>
        <w:t xml:space="preserve">2014-tolkning af </w:t>
      </w:r>
      <w:r w:rsidR="005C2E40">
        <w:rPr>
          <w:sz w:val="24"/>
          <w:szCs w:val="24"/>
        </w:rPr>
        <w:t xml:space="preserve">begivenhederne i </w:t>
      </w:r>
      <w:r>
        <w:rPr>
          <w:sz w:val="24"/>
          <w:szCs w:val="24"/>
        </w:rPr>
        <w:t>1864.</w:t>
      </w:r>
      <w:r w:rsidR="007937C6">
        <w:rPr>
          <w:sz w:val="24"/>
          <w:szCs w:val="24"/>
        </w:rPr>
        <w:t xml:space="preserve"> Begivenhederne i 1864 anskues og tolkes med nutidige briller og med udgangspunkt i Ole Bornedals og </w:t>
      </w:r>
      <w:r w:rsidR="00053224">
        <w:rPr>
          <w:sz w:val="24"/>
          <w:szCs w:val="24"/>
        </w:rPr>
        <w:t>danskernes</w:t>
      </w:r>
      <w:r w:rsidR="007937C6">
        <w:rPr>
          <w:sz w:val="24"/>
          <w:szCs w:val="24"/>
        </w:rPr>
        <w:t xml:space="preserve"> nutidige mentalitet.  </w:t>
      </w:r>
      <w:r>
        <w:rPr>
          <w:sz w:val="24"/>
          <w:szCs w:val="24"/>
        </w:rPr>
        <w:t xml:space="preserve">   </w:t>
      </w:r>
    </w:p>
    <w:p w:rsidR="000D0546" w:rsidRPr="000D0546" w:rsidRDefault="000D0546" w:rsidP="007910E4">
      <w:pPr>
        <w:rPr>
          <w:b/>
          <w:sz w:val="24"/>
          <w:szCs w:val="24"/>
        </w:rPr>
      </w:pPr>
      <w:r w:rsidRPr="000D0546">
        <w:rPr>
          <w:b/>
          <w:sz w:val="24"/>
          <w:szCs w:val="24"/>
        </w:rPr>
        <w:lastRenderedPageBreak/>
        <w:t>Hvorfor</w:t>
      </w:r>
      <w:r w:rsidR="009E1D88">
        <w:rPr>
          <w:b/>
          <w:sz w:val="24"/>
          <w:szCs w:val="24"/>
        </w:rPr>
        <w:t xml:space="preserve"> krigen </w:t>
      </w:r>
      <w:r w:rsidRPr="000D0546">
        <w:rPr>
          <w:b/>
          <w:sz w:val="24"/>
          <w:szCs w:val="24"/>
        </w:rPr>
        <w:t>1864 i historieundervisningen?</w:t>
      </w:r>
    </w:p>
    <w:p w:rsidR="007937C6" w:rsidRDefault="0056139A" w:rsidP="00F92F6D">
      <w:pPr>
        <w:ind w:firstLine="1304"/>
        <w:rPr>
          <w:sz w:val="24"/>
          <w:szCs w:val="24"/>
        </w:rPr>
      </w:pPr>
      <w:r>
        <w:rPr>
          <w:sz w:val="24"/>
          <w:szCs w:val="24"/>
        </w:rPr>
        <w:t>1864 er historie, dvs. fortid – og dog. Fortællingerne om 1864 lever i bedste velgående</w:t>
      </w:r>
      <w:r w:rsidR="005C2E40">
        <w:rPr>
          <w:sz w:val="24"/>
          <w:szCs w:val="24"/>
        </w:rPr>
        <w:t xml:space="preserve">, derfor er undervisning i krigen 1864 </w:t>
      </w:r>
      <w:r w:rsidR="00F87B98">
        <w:rPr>
          <w:sz w:val="24"/>
          <w:szCs w:val="24"/>
        </w:rPr>
        <w:t xml:space="preserve">fortsat </w:t>
      </w:r>
      <w:r w:rsidR="005C2E40">
        <w:rPr>
          <w:sz w:val="24"/>
          <w:szCs w:val="24"/>
        </w:rPr>
        <w:t>relevant</w:t>
      </w:r>
      <w:r w:rsidR="00511C78">
        <w:rPr>
          <w:sz w:val="24"/>
          <w:szCs w:val="24"/>
        </w:rPr>
        <w:t xml:space="preserve"> og aktuel</w:t>
      </w:r>
      <w:r w:rsidR="005C2E40">
        <w:rPr>
          <w:sz w:val="24"/>
          <w:szCs w:val="24"/>
        </w:rPr>
        <w:t xml:space="preserve"> undervisning</w:t>
      </w:r>
      <w:r>
        <w:rPr>
          <w:sz w:val="24"/>
          <w:szCs w:val="24"/>
        </w:rPr>
        <w:t>.</w:t>
      </w:r>
    </w:p>
    <w:p w:rsidR="007937C6" w:rsidRDefault="007937C6" w:rsidP="00F92F6D">
      <w:pPr>
        <w:ind w:firstLine="1304"/>
        <w:rPr>
          <w:sz w:val="24"/>
          <w:szCs w:val="24"/>
        </w:rPr>
      </w:pPr>
      <w:r>
        <w:rPr>
          <w:sz w:val="24"/>
          <w:szCs w:val="24"/>
        </w:rPr>
        <w:t xml:space="preserve">Da </w:t>
      </w:r>
      <w:r w:rsidR="00F92F6D">
        <w:rPr>
          <w:sz w:val="24"/>
          <w:szCs w:val="24"/>
        </w:rPr>
        <w:t xml:space="preserve">den danske stat </w:t>
      </w:r>
      <w:r>
        <w:rPr>
          <w:sz w:val="24"/>
          <w:szCs w:val="24"/>
        </w:rPr>
        <w:t>efter den kolde krigs ophør grundlæggende har ændret sin udenrigspolitik fra en nedtonet ikke-intervenerende alliancepolitik til en mere udadvendt aktivistisk udenrigspolitik, som bl.a. har afstedkommet dansk deltagelse i et antal krige og konflikter i verden – overvejende</w:t>
      </w:r>
      <w:r w:rsidR="000D0546">
        <w:rPr>
          <w:sz w:val="24"/>
          <w:szCs w:val="24"/>
        </w:rPr>
        <w:t xml:space="preserve"> i</w:t>
      </w:r>
      <w:r>
        <w:rPr>
          <w:sz w:val="24"/>
          <w:szCs w:val="24"/>
        </w:rPr>
        <w:t xml:space="preserve"> Mellemøsten og Afghanistan – og hvor danske piloter og jordpersonel lige nu deltager i bekæmpelsen af IS i Irak</w:t>
      </w:r>
      <w:r w:rsidR="0055739B">
        <w:rPr>
          <w:sz w:val="24"/>
          <w:szCs w:val="24"/>
        </w:rPr>
        <w:t xml:space="preserve"> (</w:t>
      </w:r>
      <w:r>
        <w:rPr>
          <w:sz w:val="24"/>
          <w:szCs w:val="24"/>
        </w:rPr>
        <w:t>Syrien</w:t>
      </w:r>
      <w:r w:rsidR="0055739B">
        <w:rPr>
          <w:sz w:val="24"/>
          <w:szCs w:val="24"/>
        </w:rPr>
        <w:t>)</w:t>
      </w:r>
      <w:r>
        <w:rPr>
          <w:sz w:val="24"/>
          <w:szCs w:val="24"/>
        </w:rPr>
        <w:t xml:space="preserve"> er emnet krig </w:t>
      </w:r>
      <w:r w:rsidR="000D0546">
        <w:rPr>
          <w:sz w:val="24"/>
          <w:szCs w:val="24"/>
        </w:rPr>
        <w:t xml:space="preserve">og fred </w:t>
      </w:r>
      <w:r>
        <w:rPr>
          <w:sz w:val="24"/>
          <w:szCs w:val="24"/>
        </w:rPr>
        <w:t>vigtigt og væsentligt, hvorfor undervisning i dette emne er yderst relevant.</w:t>
      </w:r>
    </w:p>
    <w:p w:rsidR="000D0546" w:rsidRDefault="000D0546" w:rsidP="00F92F6D">
      <w:pPr>
        <w:ind w:firstLine="1304"/>
        <w:rPr>
          <w:sz w:val="24"/>
          <w:szCs w:val="24"/>
        </w:rPr>
      </w:pPr>
      <w:r>
        <w:rPr>
          <w:sz w:val="24"/>
          <w:szCs w:val="24"/>
        </w:rPr>
        <w:t xml:space="preserve">Min </w:t>
      </w:r>
      <w:r w:rsidR="001C489B">
        <w:rPr>
          <w:sz w:val="24"/>
          <w:szCs w:val="24"/>
        </w:rPr>
        <w:t>pointe</w:t>
      </w:r>
      <w:r>
        <w:rPr>
          <w:sz w:val="24"/>
          <w:szCs w:val="24"/>
        </w:rPr>
        <w:t xml:space="preserve"> er bl.a. </w:t>
      </w:r>
      <w:proofErr w:type="spellStart"/>
      <w:r>
        <w:rPr>
          <w:sz w:val="24"/>
          <w:szCs w:val="24"/>
        </w:rPr>
        <w:t>pba</w:t>
      </w:r>
      <w:proofErr w:type="spellEnd"/>
      <w:r>
        <w:rPr>
          <w:sz w:val="24"/>
          <w:szCs w:val="24"/>
        </w:rPr>
        <w:t xml:space="preserve">. ovenstående, at emnet krigen 1864 alene eller som en del af temaet krig og fred, jf. W. </w:t>
      </w:r>
      <w:proofErr w:type="spellStart"/>
      <w:r>
        <w:rPr>
          <w:sz w:val="24"/>
          <w:szCs w:val="24"/>
        </w:rPr>
        <w:t>Klafkis</w:t>
      </w:r>
      <w:proofErr w:type="spellEnd"/>
      <w:r>
        <w:rPr>
          <w:sz w:val="24"/>
          <w:szCs w:val="24"/>
        </w:rPr>
        <w:t xml:space="preserve"> kategoriale dannelsestænkning og hans </w:t>
      </w:r>
      <w:proofErr w:type="spellStart"/>
      <w:r>
        <w:rPr>
          <w:sz w:val="24"/>
          <w:szCs w:val="24"/>
        </w:rPr>
        <w:t>epokale</w:t>
      </w:r>
      <w:proofErr w:type="spellEnd"/>
      <w:r>
        <w:rPr>
          <w:sz w:val="24"/>
          <w:szCs w:val="24"/>
        </w:rPr>
        <w:t xml:space="preserve"> nøglebegreber, er et </w:t>
      </w:r>
      <w:r w:rsidR="00F92F6D">
        <w:rPr>
          <w:sz w:val="24"/>
          <w:szCs w:val="24"/>
        </w:rPr>
        <w:t xml:space="preserve">både relevant og </w:t>
      </w:r>
      <w:r>
        <w:rPr>
          <w:sz w:val="24"/>
          <w:szCs w:val="24"/>
        </w:rPr>
        <w:t xml:space="preserve">eksemplarisk undervisningsemne. </w:t>
      </w:r>
      <w:r w:rsidR="00867F82">
        <w:rPr>
          <w:sz w:val="24"/>
          <w:szCs w:val="24"/>
        </w:rPr>
        <w:t>Emnet</w:t>
      </w:r>
      <w:r>
        <w:rPr>
          <w:sz w:val="24"/>
          <w:szCs w:val="24"/>
        </w:rPr>
        <w:t xml:space="preserve"> </w:t>
      </w:r>
      <w:r w:rsidR="00F92F6D">
        <w:rPr>
          <w:sz w:val="24"/>
          <w:szCs w:val="24"/>
        </w:rPr>
        <w:t>indeholder</w:t>
      </w:r>
      <w:r w:rsidR="00F87B98">
        <w:rPr>
          <w:sz w:val="24"/>
          <w:szCs w:val="24"/>
        </w:rPr>
        <w:t xml:space="preserve"> derfor</w:t>
      </w:r>
      <w:r w:rsidR="00F92F6D">
        <w:rPr>
          <w:sz w:val="24"/>
          <w:szCs w:val="24"/>
        </w:rPr>
        <w:t xml:space="preserve"> </w:t>
      </w:r>
      <w:r>
        <w:rPr>
          <w:sz w:val="24"/>
          <w:szCs w:val="24"/>
        </w:rPr>
        <w:t>væsentlig</w:t>
      </w:r>
      <w:r w:rsidR="00F92F6D">
        <w:rPr>
          <w:sz w:val="24"/>
          <w:szCs w:val="24"/>
        </w:rPr>
        <w:t>e</w:t>
      </w:r>
      <w:r>
        <w:rPr>
          <w:sz w:val="24"/>
          <w:szCs w:val="24"/>
        </w:rPr>
        <w:t>, vedkommende og perspektiverende</w:t>
      </w:r>
      <w:r w:rsidR="00F92F6D">
        <w:rPr>
          <w:sz w:val="24"/>
          <w:szCs w:val="24"/>
        </w:rPr>
        <w:t xml:space="preserve"> potentialer</w:t>
      </w:r>
      <w:r>
        <w:rPr>
          <w:sz w:val="24"/>
          <w:szCs w:val="24"/>
        </w:rPr>
        <w:t>.</w:t>
      </w:r>
    </w:p>
    <w:p w:rsidR="00F92F6D" w:rsidRDefault="000D0546" w:rsidP="00F92F6D">
      <w:pPr>
        <w:ind w:firstLine="1304"/>
        <w:rPr>
          <w:sz w:val="24"/>
          <w:szCs w:val="24"/>
        </w:rPr>
      </w:pPr>
      <w:r>
        <w:rPr>
          <w:sz w:val="24"/>
          <w:szCs w:val="24"/>
        </w:rPr>
        <w:t>Krigen 1864 handler om de grundlæggende</w:t>
      </w:r>
      <w:r w:rsidR="00867F82">
        <w:rPr>
          <w:sz w:val="24"/>
          <w:szCs w:val="24"/>
        </w:rPr>
        <w:t xml:space="preserve"> meget væsentlige</w:t>
      </w:r>
      <w:r>
        <w:rPr>
          <w:sz w:val="24"/>
          <w:szCs w:val="24"/>
        </w:rPr>
        <w:t xml:space="preserve"> spørgsmål hvorfor krig og hvordan fred. Krigen 1864 og dens virkningshistorie spiller fortsat en stor rolle </w:t>
      </w:r>
      <w:r w:rsidR="00867F82">
        <w:rPr>
          <w:sz w:val="24"/>
          <w:szCs w:val="24"/>
        </w:rPr>
        <w:t>for</w:t>
      </w:r>
      <w:r>
        <w:rPr>
          <w:sz w:val="24"/>
          <w:szCs w:val="24"/>
        </w:rPr>
        <w:t xml:space="preserve"> den danske nationale identitet og</w:t>
      </w:r>
      <w:r w:rsidR="004E4921">
        <w:rPr>
          <w:sz w:val="24"/>
          <w:szCs w:val="24"/>
        </w:rPr>
        <w:t xml:space="preserve"> for vores</w:t>
      </w:r>
      <w:r>
        <w:rPr>
          <w:sz w:val="24"/>
          <w:szCs w:val="24"/>
        </w:rPr>
        <w:t xml:space="preserve"> selvforståelse</w:t>
      </w:r>
      <w:r w:rsidR="004E4921">
        <w:rPr>
          <w:sz w:val="24"/>
          <w:szCs w:val="24"/>
        </w:rPr>
        <w:t xml:space="preserve"> </w:t>
      </w:r>
      <w:r w:rsidR="00F87B98">
        <w:rPr>
          <w:sz w:val="24"/>
          <w:szCs w:val="24"/>
        </w:rPr>
        <w:t xml:space="preserve">samt </w:t>
      </w:r>
      <w:r w:rsidR="004E4921">
        <w:rPr>
          <w:sz w:val="24"/>
          <w:szCs w:val="24"/>
        </w:rPr>
        <w:t>forståelse af vores store nabo mod syd - Tyskland</w:t>
      </w:r>
      <w:r>
        <w:rPr>
          <w:sz w:val="24"/>
          <w:szCs w:val="24"/>
        </w:rPr>
        <w:t xml:space="preserve">. </w:t>
      </w:r>
    </w:p>
    <w:p w:rsidR="000D0546" w:rsidRDefault="000D0546" w:rsidP="00F92F6D">
      <w:pPr>
        <w:rPr>
          <w:sz w:val="24"/>
          <w:szCs w:val="24"/>
        </w:rPr>
      </w:pPr>
      <w:r>
        <w:rPr>
          <w:sz w:val="24"/>
          <w:szCs w:val="24"/>
        </w:rPr>
        <w:t>Viden om og indsigt i disse områder kvalificerer</w:t>
      </w:r>
      <w:r w:rsidR="0058174F">
        <w:rPr>
          <w:sz w:val="24"/>
          <w:szCs w:val="24"/>
        </w:rPr>
        <w:t xml:space="preserve"> og styrker</w:t>
      </w:r>
      <w:r>
        <w:rPr>
          <w:sz w:val="24"/>
          <w:szCs w:val="24"/>
        </w:rPr>
        <w:t xml:space="preserve"> elevernes historiske bevidsthed.</w:t>
      </w:r>
    </w:p>
    <w:p w:rsidR="00BD75C1" w:rsidRPr="00BD75C1" w:rsidRDefault="00BD75C1" w:rsidP="007910E4">
      <w:pPr>
        <w:rPr>
          <w:b/>
          <w:sz w:val="24"/>
          <w:szCs w:val="24"/>
        </w:rPr>
      </w:pPr>
      <w:r w:rsidRPr="00BD75C1">
        <w:rPr>
          <w:b/>
          <w:sz w:val="24"/>
          <w:szCs w:val="24"/>
        </w:rPr>
        <w:t>Krigen 1864 – hvordan?</w:t>
      </w:r>
    </w:p>
    <w:p w:rsidR="00867F82" w:rsidRDefault="00867F82" w:rsidP="007910E4">
      <w:pPr>
        <w:rPr>
          <w:b/>
          <w:sz w:val="24"/>
          <w:szCs w:val="24"/>
        </w:rPr>
      </w:pPr>
      <w:r w:rsidRPr="00867F82">
        <w:rPr>
          <w:b/>
          <w:sz w:val="24"/>
          <w:szCs w:val="24"/>
        </w:rPr>
        <w:t>Forenklede fælles mål – videns- og kompetencemål</w:t>
      </w:r>
      <w:r w:rsidR="0058174F">
        <w:rPr>
          <w:rStyle w:val="Fodnotehenvisning"/>
          <w:b/>
          <w:sz w:val="24"/>
          <w:szCs w:val="24"/>
        </w:rPr>
        <w:footnoteReference w:id="6"/>
      </w:r>
      <w:r w:rsidRPr="00867F82">
        <w:rPr>
          <w:b/>
          <w:sz w:val="24"/>
          <w:szCs w:val="24"/>
        </w:rPr>
        <w:t xml:space="preserve"> </w:t>
      </w:r>
    </w:p>
    <w:p w:rsidR="00867F82" w:rsidRDefault="00867F82" w:rsidP="00F92F6D">
      <w:pPr>
        <w:ind w:firstLine="1304"/>
        <w:rPr>
          <w:sz w:val="24"/>
          <w:szCs w:val="24"/>
        </w:rPr>
      </w:pPr>
      <w:r>
        <w:rPr>
          <w:sz w:val="24"/>
          <w:szCs w:val="24"/>
        </w:rPr>
        <w:t xml:space="preserve">August 2014 trådte </w:t>
      </w:r>
      <w:r w:rsidR="00BD75C1">
        <w:rPr>
          <w:sz w:val="24"/>
          <w:szCs w:val="24"/>
        </w:rPr>
        <w:t xml:space="preserve">historiefagets nye læreplan </w:t>
      </w:r>
      <w:r>
        <w:rPr>
          <w:sz w:val="24"/>
          <w:szCs w:val="24"/>
        </w:rPr>
        <w:t xml:space="preserve">de nye såkaldte forenklede fælles mål i kraft. Dog kan kommunerne og skolerne vente til august 2015 med at implementere disse. </w:t>
      </w:r>
    </w:p>
    <w:p w:rsidR="00867F82" w:rsidRDefault="00867F82" w:rsidP="007910E4">
      <w:pPr>
        <w:rPr>
          <w:sz w:val="24"/>
          <w:szCs w:val="24"/>
        </w:rPr>
      </w:pPr>
      <w:r>
        <w:rPr>
          <w:sz w:val="24"/>
          <w:szCs w:val="24"/>
        </w:rPr>
        <w:t>Disse nye forenklede mål er videns- og kompetencemål. For historiefagets vedkommende har man bibeholdt fagets faseopdeling, dvs. at første fase er 3.-4. klasse, anden fase mellemtrinnet</w:t>
      </w:r>
      <w:r w:rsidR="00511C78">
        <w:rPr>
          <w:sz w:val="24"/>
          <w:szCs w:val="24"/>
        </w:rPr>
        <w:t>,</w:t>
      </w:r>
      <w:r>
        <w:rPr>
          <w:sz w:val="24"/>
          <w:szCs w:val="24"/>
        </w:rPr>
        <w:t xml:space="preserve"> dvs. 5.-6. klasse og tredje fase er udskolingen dvs. 7.-9. klasse.</w:t>
      </w:r>
    </w:p>
    <w:p w:rsidR="00867F82" w:rsidRDefault="00867F82" w:rsidP="007910E4">
      <w:pPr>
        <w:rPr>
          <w:sz w:val="24"/>
          <w:szCs w:val="24"/>
        </w:rPr>
      </w:pPr>
      <w:r>
        <w:rPr>
          <w:sz w:val="24"/>
          <w:szCs w:val="24"/>
        </w:rPr>
        <w:t>Overordnet skal eleverne i deres historieforløb fra 3.-9. klasse arbejde kontinuerligt og med en stigende progression med kronologi og sammenhæng, kildearbejde og historiebrug.</w:t>
      </w:r>
    </w:p>
    <w:p w:rsidR="00867F82" w:rsidRDefault="00511C78" w:rsidP="007910E4">
      <w:pPr>
        <w:rPr>
          <w:sz w:val="24"/>
          <w:szCs w:val="24"/>
        </w:rPr>
      </w:pPr>
      <w:r>
        <w:rPr>
          <w:sz w:val="24"/>
          <w:szCs w:val="24"/>
        </w:rPr>
        <w:t>Dimensionen kronologi og sammenhæng omhandler elevernes arbejde med og udvikling af historisk forståelse og beherskelse af kronologisk viden samt deres sammenhængsforståelse dvs. bl.a. indsigt i årsags-virkningsforhold.</w:t>
      </w:r>
    </w:p>
    <w:p w:rsidR="00511C78" w:rsidRDefault="00511C78" w:rsidP="007910E4">
      <w:pPr>
        <w:rPr>
          <w:sz w:val="24"/>
          <w:szCs w:val="24"/>
        </w:rPr>
      </w:pPr>
      <w:r>
        <w:rPr>
          <w:sz w:val="24"/>
          <w:szCs w:val="24"/>
        </w:rPr>
        <w:lastRenderedPageBreak/>
        <w:t>Kildearbejde omhandler elevernes arbejde og stigende beherskelse af historisk metode dvs. primært kilde- og materialekritik.</w:t>
      </w:r>
    </w:p>
    <w:p w:rsidR="00511C78" w:rsidRDefault="00511C78" w:rsidP="007910E4">
      <w:pPr>
        <w:rPr>
          <w:sz w:val="24"/>
          <w:szCs w:val="24"/>
        </w:rPr>
      </w:pPr>
      <w:r>
        <w:rPr>
          <w:sz w:val="24"/>
          <w:szCs w:val="24"/>
        </w:rPr>
        <w:t>Historiebrug omhandler eksempler på forskellig fortidig og nutidig brug af historie.</w:t>
      </w:r>
      <w:r w:rsidR="007E086C">
        <w:rPr>
          <w:rStyle w:val="Fodnotehenvisning"/>
          <w:sz w:val="24"/>
          <w:szCs w:val="24"/>
        </w:rPr>
        <w:footnoteReference w:id="7"/>
      </w:r>
    </w:p>
    <w:p w:rsidR="00511C78" w:rsidRDefault="00511C78" w:rsidP="004456F8">
      <w:pPr>
        <w:ind w:firstLine="1304"/>
        <w:rPr>
          <w:sz w:val="24"/>
          <w:szCs w:val="24"/>
        </w:rPr>
      </w:pPr>
      <w:r>
        <w:rPr>
          <w:sz w:val="24"/>
          <w:szCs w:val="24"/>
        </w:rPr>
        <w:t xml:space="preserve">Indholdet i undervisningen hentes fortsat bl.a. fra den opstillede historiekanonliste. Dog er bindingen omkring den absolutte kronologiske gennemgang af punkterne forsvundet. Nu kan man efter temperament og planlægningsmæssigt frit som historielærer organisere undervisningen i punkterne som selvstædige emner eller som dele af større temaer, såsom danskhed, demokrati, kulturmøder etc..  </w:t>
      </w:r>
    </w:p>
    <w:p w:rsidR="000D0546" w:rsidRDefault="00867F82" w:rsidP="00BE7B77">
      <w:pPr>
        <w:ind w:firstLine="1304"/>
        <w:rPr>
          <w:sz w:val="24"/>
          <w:szCs w:val="24"/>
        </w:rPr>
      </w:pPr>
      <w:r>
        <w:rPr>
          <w:sz w:val="24"/>
          <w:szCs w:val="24"/>
        </w:rPr>
        <w:t xml:space="preserve">”Stormen på Dybbøl 1864” </w:t>
      </w:r>
      <w:r w:rsidR="009C2DED">
        <w:rPr>
          <w:rStyle w:val="Fodnotehenvisning"/>
          <w:sz w:val="24"/>
          <w:szCs w:val="24"/>
        </w:rPr>
        <w:footnoteReference w:id="8"/>
      </w:r>
      <w:r>
        <w:rPr>
          <w:sz w:val="24"/>
          <w:szCs w:val="24"/>
        </w:rPr>
        <w:t xml:space="preserve">er fortsat et kanonpunkt, dvs. at eleverne i løbet </w:t>
      </w:r>
      <w:r w:rsidR="00FD0EB3">
        <w:rPr>
          <w:sz w:val="24"/>
          <w:szCs w:val="24"/>
        </w:rPr>
        <w:t>af deres historieforløb fra</w:t>
      </w:r>
      <w:r>
        <w:rPr>
          <w:sz w:val="24"/>
          <w:szCs w:val="24"/>
        </w:rPr>
        <w:t xml:space="preserve"> 3.-9. klasse skal stifte bekendtskab med selve emnet</w:t>
      </w:r>
      <w:r w:rsidR="004E4921">
        <w:rPr>
          <w:sz w:val="24"/>
          <w:szCs w:val="24"/>
        </w:rPr>
        <w:t xml:space="preserve"> og tilknyttede tematikker</w:t>
      </w:r>
      <w:r>
        <w:rPr>
          <w:sz w:val="24"/>
          <w:szCs w:val="24"/>
        </w:rPr>
        <w:t>, dets forudsætninger og konsekvenser.</w:t>
      </w:r>
      <w:r w:rsidR="004E4921">
        <w:rPr>
          <w:sz w:val="24"/>
          <w:szCs w:val="24"/>
        </w:rPr>
        <w:t xml:space="preserve"> Man bør for at opnå det bedste resultat, lade eleverne arbejde med kanonpunkterne både diakront og synkront.</w:t>
      </w:r>
      <w:r>
        <w:rPr>
          <w:sz w:val="24"/>
          <w:szCs w:val="24"/>
        </w:rPr>
        <w:t xml:space="preserve"> </w:t>
      </w:r>
      <w:r w:rsidR="000D0546">
        <w:rPr>
          <w:sz w:val="24"/>
          <w:szCs w:val="24"/>
        </w:rPr>
        <w:t xml:space="preserve">     </w:t>
      </w:r>
    </w:p>
    <w:p w:rsidR="00FD0EB3" w:rsidRDefault="00FD0EB3" w:rsidP="007910E4">
      <w:pPr>
        <w:rPr>
          <w:sz w:val="24"/>
          <w:szCs w:val="24"/>
        </w:rPr>
      </w:pPr>
      <w:r>
        <w:rPr>
          <w:sz w:val="24"/>
          <w:szCs w:val="24"/>
        </w:rPr>
        <w:t>Arbejde med krigen 1864 giver mening, hvis man arbejder med kronologi</w:t>
      </w:r>
      <w:r w:rsidR="00F87B98">
        <w:rPr>
          <w:sz w:val="24"/>
          <w:szCs w:val="24"/>
        </w:rPr>
        <w:t xml:space="preserve"> (før, samtid med og efter)</w:t>
      </w:r>
      <w:r w:rsidR="00BE7B77">
        <w:rPr>
          <w:sz w:val="24"/>
          <w:szCs w:val="24"/>
        </w:rPr>
        <w:t>, periodiseringer</w:t>
      </w:r>
      <w:r>
        <w:rPr>
          <w:sz w:val="24"/>
          <w:szCs w:val="24"/>
        </w:rPr>
        <w:t xml:space="preserve"> og sammenhængsforståelse.</w:t>
      </w:r>
    </w:p>
    <w:p w:rsidR="00FD0EB3" w:rsidRDefault="00FD0EB3" w:rsidP="007910E4">
      <w:pPr>
        <w:rPr>
          <w:sz w:val="24"/>
          <w:szCs w:val="24"/>
        </w:rPr>
      </w:pPr>
      <w:r>
        <w:rPr>
          <w:sz w:val="24"/>
          <w:szCs w:val="24"/>
        </w:rPr>
        <w:t xml:space="preserve">Det er oplagt at arbejde med historiske kilder (tekster, kort og fotos) og materialer i et emne om krigen 1864. </w:t>
      </w:r>
    </w:p>
    <w:p w:rsidR="00FD0EB3" w:rsidRDefault="00FD0EB3" w:rsidP="007910E4">
      <w:pPr>
        <w:rPr>
          <w:sz w:val="24"/>
          <w:szCs w:val="24"/>
        </w:rPr>
      </w:pPr>
      <w:r>
        <w:rPr>
          <w:sz w:val="24"/>
          <w:szCs w:val="24"/>
        </w:rPr>
        <w:t xml:space="preserve">Historiebrugsmæssigt er krigen 1864 også meget velegnet til at afdække samtidig (både dansk og preussisk/østrigsk) og </w:t>
      </w:r>
      <w:r w:rsidR="00BE7B77">
        <w:rPr>
          <w:sz w:val="24"/>
          <w:szCs w:val="24"/>
        </w:rPr>
        <w:t xml:space="preserve">ikke mindst </w:t>
      </w:r>
      <w:r>
        <w:rPr>
          <w:sz w:val="24"/>
          <w:szCs w:val="24"/>
        </w:rPr>
        <w:t xml:space="preserve">nutidig </w:t>
      </w:r>
      <w:r w:rsidR="00F87B98">
        <w:rPr>
          <w:sz w:val="24"/>
          <w:szCs w:val="24"/>
        </w:rPr>
        <w:t xml:space="preserve">historisk </w:t>
      </w:r>
      <w:r>
        <w:rPr>
          <w:sz w:val="24"/>
          <w:szCs w:val="24"/>
        </w:rPr>
        <w:t>brug af krigen fx i forhold til krigens baggrund, forløb og konsekvenser.</w:t>
      </w:r>
    </w:p>
    <w:p w:rsidR="00F92F6D" w:rsidRPr="00F92F6D" w:rsidRDefault="00F92F6D" w:rsidP="007910E4">
      <w:pPr>
        <w:rPr>
          <w:b/>
          <w:sz w:val="24"/>
          <w:szCs w:val="24"/>
        </w:rPr>
      </w:pPr>
      <w:r w:rsidRPr="00F92F6D">
        <w:rPr>
          <w:b/>
          <w:sz w:val="24"/>
          <w:szCs w:val="24"/>
        </w:rPr>
        <w:t>Læremidler</w:t>
      </w:r>
    </w:p>
    <w:p w:rsidR="00BD75C1" w:rsidRDefault="00FD0EB3" w:rsidP="004456F8">
      <w:pPr>
        <w:ind w:firstLine="1304"/>
        <w:rPr>
          <w:sz w:val="24"/>
          <w:szCs w:val="24"/>
        </w:rPr>
      </w:pPr>
      <w:r>
        <w:rPr>
          <w:sz w:val="24"/>
          <w:szCs w:val="24"/>
        </w:rPr>
        <w:t xml:space="preserve">Som materiale til </w:t>
      </w:r>
      <w:r w:rsidR="004456F8">
        <w:rPr>
          <w:sz w:val="24"/>
          <w:szCs w:val="24"/>
        </w:rPr>
        <w:t xml:space="preserve">undervisning omhandlende </w:t>
      </w:r>
      <w:r>
        <w:rPr>
          <w:sz w:val="24"/>
          <w:szCs w:val="24"/>
        </w:rPr>
        <w:t>nutidig brug af krigen kan benyttes Tom Buk-</w:t>
      </w:r>
      <w:proofErr w:type="spellStart"/>
      <w:r>
        <w:rPr>
          <w:sz w:val="24"/>
          <w:szCs w:val="24"/>
        </w:rPr>
        <w:t>Swientys</w:t>
      </w:r>
      <w:proofErr w:type="spellEnd"/>
      <w:r>
        <w:rPr>
          <w:sz w:val="24"/>
          <w:szCs w:val="24"/>
        </w:rPr>
        <w:t xml:space="preserve"> bøger</w:t>
      </w:r>
      <w:r w:rsidR="009C2DED">
        <w:rPr>
          <w:rStyle w:val="Fodnotehenvisning"/>
          <w:sz w:val="24"/>
          <w:szCs w:val="24"/>
        </w:rPr>
        <w:footnoteReference w:id="9"/>
      </w:r>
      <w:r>
        <w:rPr>
          <w:sz w:val="24"/>
          <w:szCs w:val="24"/>
        </w:rPr>
        <w:t xml:space="preserve">, Ole Bornedals tv-serie ”1864” </w:t>
      </w:r>
      <w:r w:rsidR="0055739B">
        <w:rPr>
          <w:rStyle w:val="Fodnotehenvisning"/>
          <w:sz w:val="24"/>
          <w:szCs w:val="24"/>
        </w:rPr>
        <w:footnoteReference w:id="10"/>
      </w:r>
      <w:r>
        <w:rPr>
          <w:sz w:val="24"/>
          <w:szCs w:val="24"/>
        </w:rPr>
        <w:t>samt diverse mediers og meningsdanneres anmeldelser af serien fx de politiske ytringer som bl.a. Pia Kjærsgaard</w:t>
      </w:r>
      <w:r w:rsidR="003862A6">
        <w:rPr>
          <w:rStyle w:val="Fodnotehenvisning"/>
          <w:sz w:val="24"/>
          <w:szCs w:val="24"/>
        </w:rPr>
        <w:footnoteReference w:id="11"/>
      </w:r>
      <w:r>
        <w:rPr>
          <w:sz w:val="24"/>
          <w:szCs w:val="24"/>
        </w:rPr>
        <w:t xml:space="preserve"> </w:t>
      </w:r>
      <w:r w:rsidR="001D083C">
        <w:rPr>
          <w:sz w:val="24"/>
          <w:szCs w:val="24"/>
        </w:rPr>
        <w:t xml:space="preserve">og andre fra </w:t>
      </w:r>
      <w:r>
        <w:rPr>
          <w:sz w:val="24"/>
          <w:szCs w:val="24"/>
        </w:rPr>
        <w:t>DF er fremkommet med.</w:t>
      </w:r>
    </w:p>
    <w:p w:rsidR="00BA01F2" w:rsidRDefault="00BA01F2" w:rsidP="007910E4">
      <w:pPr>
        <w:rPr>
          <w:sz w:val="24"/>
          <w:szCs w:val="24"/>
        </w:rPr>
      </w:pPr>
      <w:r>
        <w:rPr>
          <w:sz w:val="24"/>
          <w:szCs w:val="24"/>
        </w:rPr>
        <w:t>Tom Buk-</w:t>
      </w:r>
      <w:proofErr w:type="spellStart"/>
      <w:r>
        <w:rPr>
          <w:sz w:val="24"/>
          <w:szCs w:val="24"/>
        </w:rPr>
        <w:t>Swientys</w:t>
      </w:r>
      <w:proofErr w:type="spellEnd"/>
      <w:r>
        <w:rPr>
          <w:sz w:val="24"/>
          <w:szCs w:val="24"/>
        </w:rPr>
        <w:t xml:space="preserve"> bøger om 1864 ”Slagtebænk Dybbøl” og ”Dommedag Als” er umiddelbart meget spændende og velskrevne beretninger om krigen. Bøgerne er ikke </w:t>
      </w:r>
      <w:proofErr w:type="spellStart"/>
      <w:r>
        <w:rPr>
          <w:sz w:val="24"/>
          <w:szCs w:val="24"/>
        </w:rPr>
        <w:t>didaktiserede</w:t>
      </w:r>
      <w:proofErr w:type="spellEnd"/>
      <w:r>
        <w:rPr>
          <w:sz w:val="24"/>
          <w:szCs w:val="24"/>
        </w:rPr>
        <w:t xml:space="preserve"> og derfor ikke skrevet til skoleelever, men vil i uddrag sagtens kunne benyttes.</w:t>
      </w:r>
    </w:p>
    <w:p w:rsidR="00BA01F2" w:rsidRDefault="00BA01F2" w:rsidP="007910E4">
      <w:pPr>
        <w:rPr>
          <w:sz w:val="24"/>
          <w:szCs w:val="24"/>
        </w:rPr>
      </w:pPr>
      <w:r>
        <w:rPr>
          <w:sz w:val="24"/>
          <w:szCs w:val="24"/>
        </w:rPr>
        <w:lastRenderedPageBreak/>
        <w:t>Deres styrke består bl.a. i, at de ser på krigen både oppe-</w:t>
      </w:r>
      <w:r w:rsidR="00F87B98">
        <w:rPr>
          <w:sz w:val="24"/>
          <w:szCs w:val="24"/>
        </w:rPr>
        <w:t xml:space="preserve"> (beslutningstagernes)</w:t>
      </w:r>
      <w:r>
        <w:rPr>
          <w:sz w:val="24"/>
          <w:szCs w:val="24"/>
        </w:rPr>
        <w:t xml:space="preserve"> og nedefra, dvs. gennem deltagernes optik og det både på den danske og preussiske/østrigske side.</w:t>
      </w:r>
    </w:p>
    <w:p w:rsidR="00BA01F2" w:rsidRDefault="00BA01F2" w:rsidP="004456F8">
      <w:pPr>
        <w:ind w:firstLine="1304"/>
        <w:rPr>
          <w:sz w:val="24"/>
          <w:szCs w:val="24"/>
        </w:rPr>
      </w:pPr>
      <w:r>
        <w:rPr>
          <w:sz w:val="24"/>
          <w:szCs w:val="24"/>
        </w:rPr>
        <w:t xml:space="preserve">Ole Bornedals ”1864” er som tidligere omtalt en nutidig stort anlagt episk fortælling om 1864. Serien vil i uddrag kunne benyttes på en lang række </w:t>
      </w:r>
      <w:r w:rsidR="00F87B98">
        <w:rPr>
          <w:sz w:val="24"/>
          <w:szCs w:val="24"/>
        </w:rPr>
        <w:t xml:space="preserve">relevante </w:t>
      </w:r>
      <w:r>
        <w:rPr>
          <w:sz w:val="24"/>
          <w:szCs w:val="24"/>
        </w:rPr>
        <w:t xml:space="preserve">måder i historieundervisningen. </w:t>
      </w:r>
    </w:p>
    <w:p w:rsidR="00BA01F2" w:rsidRDefault="00BA01F2" w:rsidP="007910E4">
      <w:pPr>
        <w:rPr>
          <w:sz w:val="24"/>
          <w:szCs w:val="24"/>
        </w:rPr>
      </w:pPr>
      <w:r>
        <w:rPr>
          <w:sz w:val="24"/>
          <w:szCs w:val="24"/>
        </w:rPr>
        <w:t>Eksempelvis kunne man arbejde med både serien og Tom Buk-</w:t>
      </w:r>
      <w:proofErr w:type="spellStart"/>
      <w:r>
        <w:rPr>
          <w:sz w:val="24"/>
          <w:szCs w:val="24"/>
        </w:rPr>
        <w:t>Swientys</w:t>
      </w:r>
      <w:proofErr w:type="spellEnd"/>
      <w:r>
        <w:rPr>
          <w:sz w:val="24"/>
          <w:szCs w:val="24"/>
        </w:rPr>
        <w:t xml:space="preserve"> forlæg for at finde forskelle og ligheder mellem de to skildringer og tolkninger af krigen.</w:t>
      </w:r>
    </w:p>
    <w:p w:rsidR="003070C3" w:rsidRDefault="00BA01F2" w:rsidP="007910E4">
      <w:pPr>
        <w:rPr>
          <w:sz w:val="24"/>
          <w:szCs w:val="24"/>
        </w:rPr>
      </w:pPr>
      <w:r>
        <w:rPr>
          <w:sz w:val="24"/>
          <w:szCs w:val="24"/>
        </w:rPr>
        <w:t>Man kunne også analysere uddrag af serien og undersøge forholdet mellem Ole Bornedals fortælling og historiske kilder og fremstillinger om krigen, dvs. lave kildekritiske studier af de kilder og fremstillinger der ligger bag Ole Bornedals fortælling sammenholdt med udvalgte historiske kilder og fremstillinger.</w:t>
      </w:r>
    </w:p>
    <w:p w:rsidR="00BA01F2" w:rsidRDefault="003070C3" w:rsidP="007910E4">
      <w:pPr>
        <w:rPr>
          <w:sz w:val="24"/>
          <w:szCs w:val="24"/>
        </w:rPr>
      </w:pPr>
      <w:r>
        <w:rPr>
          <w:sz w:val="24"/>
          <w:szCs w:val="24"/>
        </w:rPr>
        <w:t xml:space="preserve">Serien kan også i uddrag bruges til undersøgelser af </w:t>
      </w:r>
      <w:r w:rsidR="00F87B98">
        <w:rPr>
          <w:sz w:val="24"/>
          <w:szCs w:val="24"/>
        </w:rPr>
        <w:t xml:space="preserve">de historiske </w:t>
      </w:r>
      <w:r>
        <w:rPr>
          <w:sz w:val="24"/>
          <w:szCs w:val="24"/>
        </w:rPr>
        <w:t>aktører</w:t>
      </w:r>
      <w:r w:rsidR="00F87B98">
        <w:rPr>
          <w:sz w:val="24"/>
          <w:szCs w:val="24"/>
        </w:rPr>
        <w:t xml:space="preserve"> der optræder</w:t>
      </w:r>
      <w:r>
        <w:rPr>
          <w:sz w:val="24"/>
          <w:szCs w:val="24"/>
        </w:rPr>
        <w:t xml:space="preserve"> i serien og de historiske personer og deres</w:t>
      </w:r>
      <w:r w:rsidR="00F87B98">
        <w:rPr>
          <w:sz w:val="24"/>
          <w:szCs w:val="24"/>
        </w:rPr>
        <w:t xml:space="preserve"> reelle </w:t>
      </w:r>
      <w:r>
        <w:rPr>
          <w:sz w:val="24"/>
          <w:szCs w:val="24"/>
        </w:rPr>
        <w:t>biografier.</w:t>
      </w:r>
    </w:p>
    <w:p w:rsidR="003070C3" w:rsidRDefault="003070C3" w:rsidP="007910E4">
      <w:pPr>
        <w:rPr>
          <w:sz w:val="24"/>
          <w:szCs w:val="24"/>
        </w:rPr>
      </w:pPr>
      <w:r>
        <w:rPr>
          <w:sz w:val="24"/>
          <w:szCs w:val="24"/>
        </w:rPr>
        <w:t xml:space="preserve">Tværfaglige samarbejder mellem historie, dansk og billedkunst kan også anbefales. Her kan man fx arbejde med billedanalyse, da Ole Bornedal helt bevidst arbejder meget visuelt med historiske billedmæssige forlæg. </w:t>
      </w:r>
    </w:p>
    <w:p w:rsidR="003070C3" w:rsidRDefault="003070C3" w:rsidP="003070C3">
      <w:pPr>
        <w:rPr>
          <w:sz w:val="24"/>
          <w:szCs w:val="24"/>
        </w:rPr>
      </w:pPr>
      <w:r>
        <w:rPr>
          <w:sz w:val="24"/>
          <w:szCs w:val="24"/>
        </w:rPr>
        <w:t>Serien kan med stort udbytte benyttes til undersøgelser af brug af historie. Her vil undersøgelser knyttet til serien som levn, dvs. som et udtryk for nutidens tolkning og fremstilling af fortiden dvs. 1864 være i centrum. Her kan også inddrages diverse anmeldelser af serien og ikke mindst den pol</w:t>
      </w:r>
      <w:r w:rsidR="00F87B98">
        <w:rPr>
          <w:sz w:val="24"/>
          <w:szCs w:val="24"/>
        </w:rPr>
        <w:t>emik</w:t>
      </w:r>
      <w:r>
        <w:rPr>
          <w:sz w:val="24"/>
          <w:szCs w:val="24"/>
        </w:rPr>
        <w:t xml:space="preserve"> som serien har givet anledning til politisk.   </w:t>
      </w:r>
    </w:p>
    <w:p w:rsidR="00BD75C1" w:rsidRDefault="00BE7B77" w:rsidP="004456F8">
      <w:pPr>
        <w:ind w:firstLine="1304"/>
        <w:rPr>
          <w:sz w:val="24"/>
          <w:szCs w:val="24"/>
        </w:rPr>
      </w:pPr>
      <w:r>
        <w:rPr>
          <w:sz w:val="24"/>
          <w:szCs w:val="24"/>
        </w:rPr>
        <w:t>Læremiddel</w:t>
      </w:r>
      <w:r w:rsidR="00BD75C1">
        <w:rPr>
          <w:sz w:val="24"/>
          <w:szCs w:val="24"/>
        </w:rPr>
        <w:t>mæssigt er krigen 1864 dækket rigtig godt ind.</w:t>
      </w:r>
    </w:p>
    <w:p w:rsidR="00BD75C1" w:rsidRDefault="00BD75C1" w:rsidP="007910E4">
      <w:pPr>
        <w:rPr>
          <w:sz w:val="24"/>
          <w:szCs w:val="24"/>
        </w:rPr>
      </w:pPr>
      <w:r>
        <w:rPr>
          <w:sz w:val="24"/>
          <w:szCs w:val="24"/>
        </w:rPr>
        <w:t xml:space="preserve">I historiesystemerne fra de store forlag – Gyldendal, Alinea og </w:t>
      </w:r>
      <w:proofErr w:type="spellStart"/>
      <w:r>
        <w:rPr>
          <w:sz w:val="24"/>
          <w:szCs w:val="24"/>
        </w:rPr>
        <w:t>Meloni</w:t>
      </w:r>
      <w:proofErr w:type="spellEnd"/>
      <w:r>
        <w:rPr>
          <w:sz w:val="24"/>
          <w:szCs w:val="24"/>
        </w:rPr>
        <w:t xml:space="preserve"> findes</w:t>
      </w:r>
      <w:r w:rsidR="001C489B">
        <w:rPr>
          <w:sz w:val="24"/>
          <w:szCs w:val="24"/>
        </w:rPr>
        <w:t xml:space="preserve"> hos alle</w:t>
      </w:r>
      <w:r>
        <w:rPr>
          <w:sz w:val="24"/>
          <w:szCs w:val="24"/>
        </w:rPr>
        <w:t xml:space="preserve"> større opslag om krigen med tilhørende opgaver</w:t>
      </w:r>
      <w:r w:rsidR="001C489B">
        <w:rPr>
          <w:sz w:val="24"/>
          <w:szCs w:val="24"/>
        </w:rPr>
        <w:t>,</w:t>
      </w:r>
      <w:r>
        <w:rPr>
          <w:sz w:val="24"/>
          <w:szCs w:val="24"/>
        </w:rPr>
        <w:t xml:space="preserve"> kildestudier</w:t>
      </w:r>
      <w:r w:rsidR="001C489B">
        <w:rPr>
          <w:sz w:val="24"/>
          <w:szCs w:val="24"/>
        </w:rPr>
        <w:t xml:space="preserve"> og links</w:t>
      </w:r>
      <w:r>
        <w:rPr>
          <w:sz w:val="24"/>
          <w:szCs w:val="24"/>
        </w:rPr>
        <w:t>.</w:t>
      </w:r>
    </w:p>
    <w:p w:rsidR="001C489B" w:rsidRDefault="001C489B" w:rsidP="007910E4">
      <w:pPr>
        <w:rPr>
          <w:sz w:val="24"/>
          <w:szCs w:val="24"/>
        </w:rPr>
      </w:pPr>
      <w:r>
        <w:rPr>
          <w:sz w:val="24"/>
          <w:szCs w:val="24"/>
        </w:rPr>
        <w:t>Af brugervenlige billedværker om krigen 1864 kan nævnes Tom Buk-</w:t>
      </w:r>
      <w:proofErr w:type="spellStart"/>
      <w:r>
        <w:rPr>
          <w:sz w:val="24"/>
          <w:szCs w:val="24"/>
        </w:rPr>
        <w:t>Swienty</w:t>
      </w:r>
      <w:r w:rsidR="00F87B98">
        <w:rPr>
          <w:sz w:val="24"/>
          <w:szCs w:val="24"/>
        </w:rPr>
        <w:t>s</w:t>
      </w:r>
      <w:proofErr w:type="spellEnd"/>
      <w:r>
        <w:rPr>
          <w:sz w:val="24"/>
          <w:szCs w:val="24"/>
        </w:rPr>
        <w:t xml:space="preserve"> ”1864 i billeder” fra 2012 og T. Vogel Jørgensens ”Krigen i 1864 i samtidens billeder” tilbage fra 1963.  </w:t>
      </w:r>
    </w:p>
    <w:p w:rsidR="00BD75C1" w:rsidRDefault="00BD75C1" w:rsidP="007910E4">
      <w:pPr>
        <w:rPr>
          <w:sz w:val="24"/>
          <w:szCs w:val="24"/>
        </w:rPr>
      </w:pPr>
      <w:r>
        <w:rPr>
          <w:sz w:val="24"/>
          <w:szCs w:val="24"/>
        </w:rPr>
        <w:t xml:space="preserve">På de digitale platforme findes gode og relevante materialer, opgaver, kildestudier og forslag til aktiviteter mv. </w:t>
      </w:r>
      <w:r w:rsidR="001C489B">
        <w:rPr>
          <w:sz w:val="24"/>
          <w:szCs w:val="24"/>
        </w:rPr>
        <w:t xml:space="preserve">på </w:t>
      </w:r>
      <w:r>
        <w:rPr>
          <w:sz w:val="24"/>
          <w:szCs w:val="24"/>
        </w:rPr>
        <w:t>Gyldendal</w:t>
      </w:r>
      <w:r w:rsidR="001C489B">
        <w:rPr>
          <w:sz w:val="24"/>
          <w:szCs w:val="24"/>
        </w:rPr>
        <w:t>s</w:t>
      </w:r>
      <w:r w:rsidR="00F87B98">
        <w:rPr>
          <w:sz w:val="24"/>
          <w:szCs w:val="24"/>
        </w:rPr>
        <w:t xml:space="preserve"> spændende og gennemarbejdede</w:t>
      </w:r>
      <w:r w:rsidR="001C489B">
        <w:rPr>
          <w:sz w:val="24"/>
          <w:szCs w:val="24"/>
        </w:rPr>
        <w:t xml:space="preserve"> historieportal. Hos </w:t>
      </w:r>
      <w:proofErr w:type="spellStart"/>
      <w:r>
        <w:rPr>
          <w:sz w:val="24"/>
          <w:szCs w:val="24"/>
        </w:rPr>
        <w:t>Meloni</w:t>
      </w:r>
      <w:proofErr w:type="spellEnd"/>
      <w:r w:rsidR="001C489B">
        <w:rPr>
          <w:sz w:val="24"/>
          <w:szCs w:val="24"/>
        </w:rPr>
        <w:t xml:space="preserve"> i Den digitale Historiebog og</w:t>
      </w:r>
      <w:r>
        <w:rPr>
          <w:sz w:val="24"/>
          <w:szCs w:val="24"/>
        </w:rPr>
        <w:t xml:space="preserve"> hos Clio Online </w:t>
      </w:r>
      <w:r w:rsidR="001C489B">
        <w:rPr>
          <w:sz w:val="24"/>
          <w:szCs w:val="24"/>
        </w:rPr>
        <w:t>på H</w:t>
      </w:r>
      <w:r>
        <w:rPr>
          <w:sz w:val="24"/>
          <w:szCs w:val="24"/>
        </w:rPr>
        <w:t xml:space="preserve">istoriefaget.dk. </w:t>
      </w:r>
    </w:p>
    <w:p w:rsidR="00BD75C1" w:rsidRDefault="00BD75C1" w:rsidP="007910E4">
      <w:pPr>
        <w:rPr>
          <w:sz w:val="24"/>
          <w:szCs w:val="24"/>
        </w:rPr>
      </w:pPr>
      <w:r>
        <w:rPr>
          <w:sz w:val="24"/>
          <w:szCs w:val="24"/>
        </w:rPr>
        <w:t>Hvis man har mulighed for det, er et besøg på Dybbølcentret</w:t>
      </w:r>
      <w:r w:rsidR="00BE7B77">
        <w:rPr>
          <w:sz w:val="24"/>
          <w:szCs w:val="24"/>
        </w:rPr>
        <w:t xml:space="preserve"> </w:t>
      </w:r>
      <w:r w:rsidR="009C2DED">
        <w:rPr>
          <w:sz w:val="24"/>
          <w:szCs w:val="24"/>
        </w:rPr>
        <w:t>- Historiecenter Dybbøl Banke</w:t>
      </w:r>
      <w:r>
        <w:rPr>
          <w:sz w:val="24"/>
          <w:szCs w:val="24"/>
        </w:rPr>
        <w:t xml:space="preserve"> et must. </w:t>
      </w:r>
      <w:r w:rsidR="009C2DED">
        <w:rPr>
          <w:sz w:val="24"/>
          <w:szCs w:val="24"/>
        </w:rPr>
        <w:t xml:space="preserve">Dette besøg kan fint kombineres med besøg på Sønderborg Slot, som også huser en meget velafbalanceret og informativ udstilling. </w:t>
      </w:r>
      <w:r>
        <w:rPr>
          <w:sz w:val="24"/>
          <w:szCs w:val="24"/>
        </w:rPr>
        <w:t>Historisk rekonstruktions- og værkstedsarbejde</w:t>
      </w:r>
      <w:r w:rsidR="009C2DED">
        <w:rPr>
          <w:sz w:val="24"/>
          <w:szCs w:val="24"/>
        </w:rPr>
        <w:t xml:space="preserve"> samt museumsbesøg</w:t>
      </w:r>
      <w:r>
        <w:rPr>
          <w:sz w:val="24"/>
          <w:szCs w:val="24"/>
        </w:rPr>
        <w:t xml:space="preserve"> er altid meget givende. </w:t>
      </w:r>
      <w:r w:rsidR="009C2DED">
        <w:rPr>
          <w:sz w:val="24"/>
          <w:szCs w:val="24"/>
        </w:rPr>
        <w:t>Dog skal sådanne besøg altid planlægges, gennemføres med elevaktiviteter på stedet, og efterbehandles hjemme i klassen.</w:t>
      </w:r>
    </w:p>
    <w:p w:rsidR="00F92F6D" w:rsidRDefault="00F92F6D" w:rsidP="007910E4">
      <w:pPr>
        <w:rPr>
          <w:sz w:val="24"/>
          <w:szCs w:val="24"/>
        </w:rPr>
      </w:pPr>
      <w:r>
        <w:rPr>
          <w:sz w:val="24"/>
          <w:szCs w:val="24"/>
        </w:rPr>
        <w:lastRenderedPageBreak/>
        <w:t>Skønlitteratur og faktionslitteratur</w:t>
      </w:r>
      <w:r w:rsidR="00087633">
        <w:rPr>
          <w:rStyle w:val="Fodnotehenvisning"/>
          <w:sz w:val="24"/>
          <w:szCs w:val="24"/>
        </w:rPr>
        <w:footnoteReference w:id="12"/>
      </w:r>
      <w:r>
        <w:rPr>
          <w:sz w:val="24"/>
          <w:szCs w:val="24"/>
        </w:rPr>
        <w:t xml:space="preserve"> findes også til dette emne.</w:t>
      </w:r>
      <w:r w:rsidR="009C2DED">
        <w:rPr>
          <w:sz w:val="24"/>
          <w:szCs w:val="24"/>
        </w:rPr>
        <w:t xml:space="preserve"> </w:t>
      </w:r>
    </w:p>
    <w:p w:rsidR="00826C14" w:rsidRDefault="00826C14" w:rsidP="004456F8">
      <w:pPr>
        <w:rPr>
          <w:sz w:val="24"/>
          <w:szCs w:val="24"/>
        </w:rPr>
      </w:pPr>
      <w:r>
        <w:rPr>
          <w:sz w:val="24"/>
          <w:szCs w:val="24"/>
        </w:rPr>
        <w:t xml:space="preserve">En god måde at arbejde med et historisk emne på, er at lade eleverne undersøge gamle og nyere historiefremstillingers skildring af emnet. I forhold til 1864 kunne det være spændende at lade elevene læse og analysere </w:t>
      </w:r>
      <w:r w:rsidR="00F87B98">
        <w:rPr>
          <w:sz w:val="24"/>
          <w:szCs w:val="24"/>
        </w:rPr>
        <w:t xml:space="preserve">uddrag af </w:t>
      </w:r>
      <w:r>
        <w:rPr>
          <w:sz w:val="24"/>
          <w:szCs w:val="24"/>
        </w:rPr>
        <w:t>A. D. Jørgensens passionerede og positionerede ”40 fortællinger af fædrelandets historie”, Lademann 1981 sammenholdt med fx Rikke Agnete Olsens ”41 fortællinger om folk i fædrelandets historie”, Lindhardt og Ringhof 2004</w:t>
      </w:r>
      <w:r w:rsidR="00F87B98">
        <w:rPr>
          <w:sz w:val="24"/>
          <w:szCs w:val="24"/>
        </w:rPr>
        <w:t xml:space="preserve"> i uddrag</w:t>
      </w:r>
      <w:r>
        <w:rPr>
          <w:sz w:val="24"/>
          <w:szCs w:val="24"/>
        </w:rPr>
        <w:t>. A. D. Jørgensens skildring udkom første gang i 1882, altså fra perioden mellem 1864 og genforeningen i 1920, hvilket hans fortælling helt tydeligt bærer præg af.</w:t>
      </w:r>
      <w:r w:rsidR="00F87B98">
        <w:rPr>
          <w:sz w:val="24"/>
          <w:szCs w:val="24"/>
        </w:rPr>
        <w:t xml:space="preserve"> A.D. Jørgensens skildring af det slesvigske spørgsmål og de to slesvigske krige er et partsindlæg – et studie i moralsk oprustning. </w:t>
      </w:r>
      <w:r>
        <w:rPr>
          <w:sz w:val="24"/>
          <w:szCs w:val="24"/>
        </w:rPr>
        <w:t xml:space="preserve">Rikke Agnete Olsens bog er fra 2004 – altså en nutidig skildring af krigen og dens følger. Denne skildring </w:t>
      </w:r>
      <w:r w:rsidR="0090565E">
        <w:rPr>
          <w:sz w:val="24"/>
          <w:szCs w:val="24"/>
        </w:rPr>
        <w:t>udmærker sig ved at have en lang forhistorie og ved mest at dvæle ved genforeningen 1920 og ikke ret meget ved krigen 1864.</w:t>
      </w:r>
      <w:r w:rsidR="00F87B98">
        <w:rPr>
          <w:sz w:val="24"/>
          <w:szCs w:val="24"/>
        </w:rPr>
        <w:t xml:space="preserve"> Tankevækkende.</w:t>
      </w:r>
      <w:r w:rsidR="0090565E">
        <w:rPr>
          <w:sz w:val="24"/>
          <w:szCs w:val="24"/>
        </w:rPr>
        <w:t xml:space="preserve"> </w:t>
      </w:r>
      <w:r>
        <w:rPr>
          <w:sz w:val="24"/>
          <w:szCs w:val="24"/>
        </w:rPr>
        <w:t xml:space="preserve">    </w:t>
      </w:r>
    </w:p>
    <w:p w:rsidR="00087633" w:rsidRDefault="00087633" w:rsidP="007910E4">
      <w:pPr>
        <w:rPr>
          <w:sz w:val="24"/>
          <w:szCs w:val="24"/>
        </w:rPr>
      </w:pPr>
      <w:r>
        <w:rPr>
          <w:sz w:val="24"/>
          <w:szCs w:val="24"/>
        </w:rPr>
        <w:t xml:space="preserve">Hvis man som historielærer ønsker at researche i selve Sønderjylland kan Erik Ingemann Sørensens ”En guide i krigens fodspor”, Gyldendal 2103 varmt anbefales. </w:t>
      </w:r>
    </w:p>
    <w:p w:rsidR="004E4921" w:rsidRDefault="004E10CF" w:rsidP="007910E4">
      <w:pPr>
        <w:rPr>
          <w:sz w:val="24"/>
          <w:szCs w:val="24"/>
        </w:rPr>
      </w:pPr>
      <w:r>
        <w:rPr>
          <w:sz w:val="24"/>
          <w:szCs w:val="24"/>
        </w:rPr>
        <w:t>Der findes desuden</w:t>
      </w:r>
      <w:r w:rsidR="004E4921">
        <w:rPr>
          <w:sz w:val="24"/>
          <w:szCs w:val="24"/>
        </w:rPr>
        <w:t xml:space="preserve"> en sjov lille stumfilm på </w:t>
      </w:r>
      <w:proofErr w:type="spellStart"/>
      <w:r w:rsidR="004E4921">
        <w:rPr>
          <w:sz w:val="24"/>
          <w:szCs w:val="24"/>
        </w:rPr>
        <w:t>youtube</w:t>
      </w:r>
      <w:proofErr w:type="spellEnd"/>
      <w:r w:rsidR="004E4921">
        <w:rPr>
          <w:sz w:val="24"/>
          <w:szCs w:val="24"/>
        </w:rPr>
        <w:t xml:space="preserve"> fra 1910 med titlen ”Helten fra 64”</w:t>
      </w:r>
      <w:r w:rsidR="00BE7B77">
        <w:rPr>
          <w:rStyle w:val="Fodnotehenvisning"/>
          <w:sz w:val="24"/>
          <w:szCs w:val="24"/>
        </w:rPr>
        <w:footnoteReference w:id="13"/>
      </w:r>
      <w:r w:rsidR="004E4921">
        <w:rPr>
          <w:sz w:val="24"/>
          <w:szCs w:val="24"/>
        </w:rPr>
        <w:t>, hvor man følger helten drage ud i kamp mod preusserne. Han deltager i krigen og kommer såret hjem for efterfølgende at dø med Dannebrog i sin hånd. Filmen er rigtig god til at belyse datidens historiebrug</w:t>
      </w:r>
      <w:r w:rsidR="00BE7B77">
        <w:rPr>
          <w:sz w:val="24"/>
          <w:szCs w:val="24"/>
        </w:rPr>
        <w:t>,</w:t>
      </w:r>
      <w:r w:rsidR="004E4921">
        <w:rPr>
          <w:sz w:val="24"/>
          <w:szCs w:val="24"/>
        </w:rPr>
        <w:t xml:space="preserve"> dvs.</w:t>
      </w:r>
      <w:r w:rsidR="00BE7B77">
        <w:rPr>
          <w:sz w:val="24"/>
          <w:szCs w:val="24"/>
        </w:rPr>
        <w:t xml:space="preserve"> vise dansk selvforståelse i </w:t>
      </w:r>
      <w:r w:rsidR="004E4921">
        <w:rPr>
          <w:sz w:val="24"/>
          <w:szCs w:val="24"/>
        </w:rPr>
        <w:t xml:space="preserve">perioden mellem </w:t>
      </w:r>
      <w:r w:rsidR="00BE7B77">
        <w:rPr>
          <w:sz w:val="24"/>
          <w:szCs w:val="24"/>
        </w:rPr>
        <w:t xml:space="preserve">krigen og nederlaget i </w:t>
      </w:r>
      <w:r w:rsidR="004E4921">
        <w:rPr>
          <w:sz w:val="24"/>
          <w:szCs w:val="24"/>
        </w:rPr>
        <w:t xml:space="preserve">1864 og indtil genforeningen 1920, hvor Nordslesvig blev forenet med kongeriget.  </w:t>
      </w:r>
    </w:p>
    <w:p w:rsidR="004E10CF" w:rsidRDefault="00BE7B77" w:rsidP="007910E4">
      <w:pPr>
        <w:rPr>
          <w:sz w:val="24"/>
          <w:szCs w:val="24"/>
        </w:rPr>
      </w:pPr>
      <w:r>
        <w:rPr>
          <w:sz w:val="24"/>
          <w:szCs w:val="24"/>
        </w:rPr>
        <w:t>En særlig vinkling på krigen 1864 og historiebrug kunne være mindekulturen knyttet til krigen – både den mentale såsom</w:t>
      </w:r>
      <w:r w:rsidR="004E10CF">
        <w:rPr>
          <w:sz w:val="24"/>
          <w:szCs w:val="24"/>
        </w:rPr>
        <w:t xml:space="preserve"> diverse mindedage og jubilæer fx</w:t>
      </w:r>
      <w:r>
        <w:rPr>
          <w:sz w:val="24"/>
          <w:szCs w:val="24"/>
        </w:rPr>
        <w:t xml:space="preserve"> dybbøldagen 18. april, og den materielle i form af diverse museale udstillinger </w:t>
      </w:r>
      <w:r w:rsidR="004E10CF">
        <w:rPr>
          <w:sz w:val="24"/>
          <w:szCs w:val="24"/>
        </w:rPr>
        <w:t>og/</w:t>
      </w:r>
      <w:r>
        <w:rPr>
          <w:sz w:val="24"/>
          <w:szCs w:val="24"/>
        </w:rPr>
        <w:t>eller de mindesmærker der efterfølgende er rejst</w:t>
      </w:r>
      <w:r w:rsidR="009868E1">
        <w:rPr>
          <w:sz w:val="24"/>
          <w:szCs w:val="24"/>
        </w:rPr>
        <w:t xml:space="preserve"> af de deltagende parter i krigen – både danske (både i og ikke mindst uden for Sønderjylland fx Den lille hornblæser i Købehavn), preussiske (tyske) (fx </w:t>
      </w:r>
      <w:proofErr w:type="spellStart"/>
      <w:r w:rsidR="009868E1">
        <w:rPr>
          <w:sz w:val="24"/>
          <w:szCs w:val="24"/>
        </w:rPr>
        <w:t>Siegessäule</w:t>
      </w:r>
      <w:proofErr w:type="spellEnd"/>
      <w:r w:rsidR="009868E1">
        <w:rPr>
          <w:sz w:val="24"/>
          <w:szCs w:val="24"/>
        </w:rPr>
        <w:t xml:space="preserve"> i Berlin</w:t>
      </w:r>
      <w:r w:rsidR="004E10CF">
        <w:rPr>
          <w:sz w:val="24"/>
          <w:szCs w:val="24"/>
        </w:rPr>
        <w:t xml:space="preserve"> og </w:t>
      </w:r>
      <w:proofErr w:type="spellStart"/>
      <w:r w:rsidR="004E10CF">
        <w:rPr>
          <w:sz w:val="24"/>
          <w:szCs w:val="24"/>
        </w:rPr>
        <w:t>Dübbel</w:t>
      </w:r>
      <w:proofErr w:type="spellEnd"/>
      <w:r w:rsidR="004E10CF">
        <w:rPr>
          <w:sz w:val="24"/>
          <w:szCs w:val="24"/>
        </w:rPr>
        <w:t xml:space="preserve"> </w:t>
      </w:r>
      <w:proofErr w:type="spellStart"/>
      <w:r w:rsidR="004E10CF">
        <w:rPr>
          <w:sz w:val="24"/>
          <w:szCs w:val="24"/>
        </w:rPr>
        <w:t>Denkmahl</w:t>
      </w:r>
      <w:proofErr w:type="spellEnd"/>
      <w:r w:rsidR="004E10CF">
        <w:rPr>
          <w:sz w:val="24"/>
          <w:szCs w:val="24"/>
        </w:rPr>
        <w:t xml:space="preserve"> som angiveligt sprængtes af danske modstandsfolk i 1945</w:t>
      </w:r>
      <w:r w:rsidR="009868E1">
        <w:rPr>
          <w:sz w:val="24"/>
          <w:szCs w:val="24"/>
        </w:rPr>
        <w:t>) og østrigske. En særlig kategori er de bygninger, såsom Dybbøl mølle, som indgår centralt i fortællingerne om krigen.</w:t>
      </w:r>
    </w:p>
    <w:p w:rsidR="004E10CF" w:rsidRDefault="004E10CF" w:rsidP="007910E4">
      <w:pPr>
        <w:rPr>
          <w:sz w:val="24"/>
          <w:szCs w:val="24"/>
        </w:rPr>
      </w:pPr>
      <w:r>
        <w:rPr>
          <w:sz w:val="24"/>
          <w:szCs w:val="24"/>
        </w:rPr>
        <w:t xml:space="preserve">Endelig kan eleverne arbejde med krigen i billedkunsten eller i digtekunsten. På det nationalhistoriske museum på Frederiksborg slot og på Sønderborg slot hænger de væsentligste malerier der omhandler krigen. Langt de fleste er malet efter nederlaget 1864 og inden genforeningen 1920. Analyse af disse malerier giver eleverne mulighed for at afdække dansk selvforståelse og mentalitet i perioden. </w:t>
      </w:r>
    </w:p>
    <w:p w:rsidR="009868E1" w:rsidRDefault="004E10CF" w:rsidP="007910E4">
      <w:pPr>
        <w:rPr>
          <w:sz w:val="24"/>
          <w:szCs w:val="24"/>
        </w:rPr>
      </w:pPr>
      <w:r>
        <w:rPr>
          <w:sz w:val="24"/>
          <w:szCs w:val="24"/>
        </w:rPr>
        <w:t xml:space="preserve">Det samme gør de digte og skønlitterære tekster der findes fra samme periode. </w:t>
      </w:r>
      <w:r w:rsidR="009868E1">
        <w:rPr>
          <w:sz w:val="24"/>
          <w:szCs w:val="24"/>
        </w:rPr>
        <w:t xml:space="preserve"> </w:t>
      </w:r>
      <w:r w:rsidR="00BE7B77">
        <w:rPr>
          <w:sz w:val="24"/>
          <w:szCs w:val="24"/>
        </w:rPr>
        <w:t xml:space="preserve"> </w:t>
      </w:r>
    </w:p>
    <w:p w:rsidR="00FD0EB3" w:rsidRDefault="00087633" w:rsidP="004456F8">
      <w:pPr>
        <w:ind w:firstLine="1304"/>
        <w:rPr>
          <w:sz w:val="24"/>
          <w:szCs w:val="24"/>
        </w:rPr>
      </w:pPr>
      <w:r>
        <w:rPr>
          <w:sz w:val="24"/>
          <w:szCs w:val="24"/>
        </w:rPr>
        <w:lastRenderedPageBreak/>
        <w:t>E</w:t>
      </w:r>
      <w:r w:rsidR="00FD0EB3">
        <w:rPr>
          <w:sz w:val="24"/>
          <w:szCs w:val="24"/>
        </w:rPr>
        <w:t xml:space="preserve">mnets tidsmæssige placering og dets indhold lægger naturligt op til, at emnet indgår i undervisningen i </w:t>
      </w:r>
      <w:r w:rsidR="004E10CF">
        <w:rPr>
          <w:sz w:val="24"/>
          <w:szCs w:val="24"/>
        </w:rPr>
        <w:t xml:space="preserve">historieundervisningens </w:t>
      </w:r>
      <w:r w:rsidR="00FD0EB3">
        <w:rPr>
          <w:sz w:val="24"/>
          <w:szCs w:val="24"/>
        </w:rPr>
        <w:t>fase tre, dvs. udskolingen (7.-9. klasse).</w:t>
      </w:r>
    </w:p>
    <w:p w:rsidR="00FD0EB3" w:rsidRDefault="00F60A29" w:rsidP="007910E4">
      <w:pPr>
        <w:rPr>
          <w:sz w:val="24"/>
          <w:szCs w:val="24"/>
        </w:rPr>
      </w:pPr>
      <w:r>
        <w:rPr>
          <w:sz w:val="24"/>
          <w:szCs w:val="24"/>
        </w:rPr>
        <w:t>Et</w:t>
      </w:r>
      <w:r w:rsidR="00BD75C1">
        <w:rPr>
          <w:sz w:val="24"/>
          <w:szCs w:val="24"/>
        </w:rPr>
        <w:t xml:space="preserve"> forlag har udgivet læremidler om emnet til yngre elever </w:t>
      </w:r>
      <w:r>
        <w:rPr>
          <w:sz w:val="24"/>
          <w:szCs w:val="24"/>
        </w:rPr>
        <w:t>- forlaget</w:t>
      </w:r>
      <w:r w:rsidR="00BD75C1">
        <w:rPr>
          <w:sz w:val="24"/>
          <w:szCs w:val="24"/>
        </w:rPr>
        <w:t xml:space="preserve"> </w:t>
      </w:r>
      <w:proofErr w:type="spellStart"/>
      <w:r w:rsidR="00BD75C1">
        <w:rPr>
          <w:sz w:val="24"/>
          <w:szCs w:val="24"/>
        </w:rPr>
        <w:t>Meloni</w:t>
      </w:r>
      <w:proofErr w:type="spellEnd"/>
      <w:r w:rsidR="003862A6">
        <w:rPr>
          <w:rStyle w:val="Fodnotehenvisning"/>
          <w:sz w:val="24"/>
          <w:szCs w:val="24"/>
        </w:rPr>
        <w:footnoteReference w:id="14"/>
      </w:r>
      <w:r w:rsidR="00BD75C1">
        <w:rPr>
          <w:sz w:val="24"/>
          <w:szCs w:val="24"/>
        </w:rPr>
        <w:t xml:space="preserve">. </w:t>
      </w:r>
      <w:r w:rsidR="0058174F">
        <w:rPr>
          <w:sz w:val="24"/>
          <w:szCs w:val="24"/>
        </w:rPr>
        <w:t xml:space="preserve">Brug af disse materialer må selvfølgelig tilpasses de elever man underviser, og det kan ikke undgås at væsentlige pointer </w:t>
      </w:r>
      <w:r w:rsidR="00F208B4">
        <w:rPr>
          <w:sz w:val="24"/>
          <w:szCs w:val="24"/>
        </w:rPr>
        <w:t xml:space="preserve">bliver overfladiske eller helt </w:t>
      </w:r>
      <w:r w:rsidR="0058174F">
        <w:rPr>
          <w:sz w:val="24"/>
          <w:szCs w:val="24"/>
        </w:rPr>
        <w:t>misses.</w:t>
      </w:r>
    </w:p>
    <w:p w:rsidR="004E10CF" w:rsidRPr="004E10CF" w:rsidRDefault="004E10CF" w:rsidP="007910E4">
      <w:pPr>
        <w:rPr>
          <w:b/>
          <w:sz w:val="24"/>
          <w:szCs w:val="24"/>
        </w:rPr>
      </w:pPr>
      <w:r w:rsidRPr="004E10CF">
        <w:rPr>
          <w:b/>
          <w:sz w:val="24"/>
          <w:szCs w:val="24"/>
        </w:rPr>
        <w:t xml:space="preserve">Nye </w:t>
      </w:r>
      <w:r w:rsidR="004456F8">
        <w:rPr>
          <w:b/>
          <w:sz w:val="24"/>
          <w:szCs w:val="24"/>
        </w:rPr>
        <w:t xml:space="preserve">historiske </w:t>
      </w:r>
      <w:r w:rsidRPr="004E10CF">
        <w:rPr>
          <w:b/>
          <w:sz w:val="24"/>
          <w:szCs w:val="24"/>
        </w:rPr>
        <w:t xml:space="preserve">jubilæer i de kommende år </w:t>
      </w:r>
    </w:p>
    <w:p w:rsidR="001C489B" w:rsidRDefault="001C489B" w:rsidP="004E10CF">
      <w:pPr>
        <w:ind w:firstLine="1304"/>
        <w:rPr>
          <w:sz w:val="24"/>
          <w:szCs w:val="24"/>
        </w:rPr>
      </w:pPr>
      <w:r>
        <w:rPr>
          <w:sz w:val="24"/>
          <w:szCs w:val="24"/>
        </w:rPr>
        <w:t xml:space="preserve">Hvis du ikke allerede har undervist i krigen 1864 kan det stadig nås – ellers kommer der andre væsentlige jubilæer i 2015 fx 100-året for kvindernes valgret i 1915. Et emne som både er på kanonlisten og som fortjener </w:t>
      </w:r>
      <w:r w:rsidR="004E10CF">
        <w:rPr>
          <w:sz w:val="24"/>
          <w:szCs w:val="24"/>
        </w:rPr>
        <w:t xml:space="preserve">generel </w:t>
      </w:r>
      <w:r>
        <w:rPr>
          <w:sz w:val="24"/>
          <w:szCs w:val="24"/>
        </w:rPr>
        <w:t>stor undervisningsmæssig</w:t>
      </w:r>
      <w:r w:rsidR="00BE7B77">
        <w:rPr>
          <w:sz w:val="24"/>
          <w:szCs w:val="24"/>
        </w:rPr>
        <w:t xml:space="preserve"> og anden</w:t>
      </w:r>
      <w:r>
        <w:rPr>
          <w:sz w:val="24"/>
          <w:szCs w:val="24"/>
        </w:rPr>
        <w:t xml:space="preserve"> opmærksomhed.</w:t>
      </w:r>
      <w:r w:rsidR="004456F8">
        <w:rPr>
          <w:sz w:val="24"/>
          <w:szCs w:val="24"/>
        </w:rPr>
        <w:t xml:space="preserve"> I 2017 fejres en anden væsentlig historisk begivenhed med stor betydning for dansk historie Luther og reformationen. </w:t>
      </w:r>
    </w:p>
    <w:p w:rsidR="00F92F6D" w:rsidRDefault="001C489B" w:rsidP="007910E4">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58174F" w:rsidRDefault="0058174F" w:rsidP="007910E4">
      <w:pPr>
        <w:rPr>
          <w:sz w:val="24"/>
          <w:szCs w:val="24"/>
        </w:rPr>
      </w:pPr>
    </w:p>
    <w:p w:rsidR="0058174F" w:rsidRDefault="0058174F" w:rsidP="007910E4">
      <w:pPr>
        <w:rPr>
          <w:sz w:val="24"/>
          <w:szCs w:val="24"/>
        </w:rPr>
      </w:pPr>
    </w:p>
    <w:p w:rsidR="007937C6" w:rsidRDefault="007937C6" w:rsidP="007910E4">
      <w:pPr>
        <w:rPr>
          <w:sz w:val="24"/>
          <w:szCs w:val="24"/>
        </w:rPr>
      </w:pPr>
      <w:r>
        <w:rPr>
          <w:sz w:val="24"/>
          <w:szCs w:val="24"/>
        </w:rPr>
        <w:t xml:space="preserve">  </w:t>
      </w:r>
    </w:p>
    <w:p w:rsidR="007910E4" w:rsidRDefault="0056139A" w:rsidP="007910E4">
      <w:pPr>
        <w:rPr>
          <w:sz w:val="24"/>
          <w:szCs w:val="24"/>
        </w:rPr>
      </w:pPr>
      <w:r>
        <w:rPr>
          <w:sz w:val="24"/>
          <w:szCs w:val="24"/>
        </w:rPr>
        <w:t xml:space="preserve"> </w:t>
      </w:r>
      <w:r w:rsidR="00E07733">
        <w:rPr>
          <w:sz w:val="24"/>
          <w:szCs w:val="24"/>
        </w:rPr>
        <w:t xml:space="preserve">  </w:t>
      </w:r>
      <w:r w:rsidR="00F2431A">
        <w:rPr>
          <w:sz w:val="24"/>
          <w:szCs w:val="24"/>
        </w:rPr>
        <w:t xml:space="preserve">    </w:t>
      </w:r>
      <w:r w:rsidR="007910E4">
        <w:rPr>
          <w:sz w:val="24"/>
          <w:szCs w:val="24"/>
        </w:rPr>
        <w:t xml:space="preserve">  </w:t>
      </w:r>
    </w:p>
    <w:p w:rsidR="007910E4" w:rsidRPr="007910E4" w:rsidRDefault="007910E4" w:rsidP="007910E4">
      <w:pPr>
        <w:rPr>
          <w:sz w:val="24"/>
          <w:szCs w:val="24"/>
        </w:rPr>
      </w:pPr>
      <w:r>
        <w:rPr>
          <w:sz w:val="24"/>
          <w:szCs w:val="24"/>
        </w:rPr>
        <w:t xml:space="preserve"> </w:t>
      </w:r>
    </w:p>
    <w:sectPr w:rsidR="007910E4" w:rsidRPr="007910E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A5" w:rsidRDefault="00390FA5" w:rsidP="0058174F">
      <w:pPr>
        <w:spacing w:after="0" w:line="240" w:lineRule="auto"/>
      </w:pPr>
      <w:r>
        <w:separator/>
      </w:r>
    </w:p>
  </w:endnote>
  <w:endnote w:type="continuationSeparator" w:id="0">
    <w:p w:rsidR="00390FA5" w:rsidRDefault="00390FA5" w:rsidP="0058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A5" w:rsidRDefault="00390FA5" w:rsidP="0058174F">
      <w:pPr>
        <w:spacing w:after="0" w:line="240" w:lineRule="auto"/>
      </w:pPr>
      <w:r>
        <w:separator/>
      </w:r>
    </w:p>
  </w:footnote>
  <w:footnote w:type="continuationSeparator" w:id="0">
    <w:p w:rsidR="00390FA5" w:rsidRDefault="00390FA5" w:rsidP="0058174F">
      <w:pPr>
        <w:spacing w:after="0" w:line="240" w:lineRule="auto"/>
      </w:pPr>
      <w:r>
        <w:continuationSeparator/>
      </w:r>
    </w:p>
  </w:footnote>
  <w:footnote w:id="1">
    <w:p w:rsidR="000D215D" w:rsidRDefault="000D215D">
      <w:pPr>
        <w:pStyle w:val="Fodnotetekst"/>
      </w:pPr>
      <w:r>
        <w:rPr>
          <w:rStyle w:val="Fodnotehenvisning"/>
        </w:rPr>
        <w:footnoteRef/>
      </w:r>
      <w:r>
        <w:t xml:space="preserve"> Se </w:t>
      </w:r>
      <w:r w:rsidRPr="000D215D">
        <w:t>http://www.svd.se/kultur/understrecket/150-ar-av-dansk-nederlagsnationalism_3473342.svd</w:t>
      </w:r>
    </w:p>
  </w:footnote>
  <w:footnote w:id="2">
    <w:p w:rsidR="000D215D" w:rsidRDefault="000D215D">
      <w:pPr>
        <w:pStyle w:val="Fodnotetekst"/>
      </w:pPr>
      <w:r>
        <w:rPr>
          <w:rStyle w:val="Fodnotehenvisning"/>
        </w:rPr>
        <w:footnoteRef/>
      </w:r>
      <w:r>
        <w:t xml:space="preserve"> Se fx Camilla </w:t>
      </w:r>
      <w:proofErr w:type="spellStart"/>
      <w:r>
        <w:t>Stockmann</w:t>
      </w:r>
      <w:proofErr w:type="spellEnd"/>
      <w:r>
        <w:t>: Den historiske jubilæumsfest, Politiken 22. september 2014.</w:t>
      </w:r>
    </w:p>
  </w:footnote>
  <w:footnote w:id="3">
    <w:p w:rsidR="000D215D" w:rsidRDefault="000D215D">
      <w:pPr>
        <w:pStyle w:val="Fodnotetekst"/>
      </w:pPr>
      <w:r>
        <w:rPr>
          <w:rStyle w:val="Fodnotehenvisning"/>
        </w:rPr>
        <w:footnoteRef/>
      </w:r>
      <w:r>
        <w:t xml:space="preserve"> Se </w:t>
      </w:r>
      <w:hyperlink r:id="rId1" w:history="1">
        <w:r w:rsidRPr="00B4401D">
          <w:rPr>
            <w:rStyle w:val="Hyperlink"/>
          </w:rPr>
          <w:t>http://www.dybboel2014.dk/media/53249/dybboel-2014.pdf</w:t>
        </w:r>
      </w:hyperlink>
      <w:r>
        <w:t xml:space="preserve"> og </w:t>
      </w:r>
      <w:hyperlink r:id="rId2" w:history="1">
        <w:r w:rsidRPr="00B4401D">
          <w:rPr>
            <w:rStyle w:val="Hyperlink"/>
          </w:rPr>
          <w:t>http://1864dage.dk/</w:t>
        </w:r>
      </w:hyperlink>
      <w:r>
        <w:t xml:space="preserve"> og </w:t>
      </w:r>
      <w:hyperlink r:id="rId3" w:history="1">
        <w:r w:rsidRPr="00B4401D">
          <w:rPr>
            <w:rStyle w:val="Hyperlink"/>
          </w:rPr>
          <w:t>http://www.kristeligt-dagblad.dk/danmark/storstilet-markering-af-slaget-ved-dybbøl</w:t>
        </w:r>
      </w:hyperlink>
    </w:p>
    <w:p w:rsidR="000D215D" w:rsidRDefault="000D215D">
      <w:pPr>
        <w:pStyle w:val="Fodnotetekst"/>
      </w:pPr>
    </w:p>
  </w:footnote>
  <w:footnote w:id="4">
    <w:p w:rsidR="009C2DED" w:rsidRDefault="009C2DED">
      <w:pPr>
        <w:pStyle w:val="Fodnotetekst"/>
      </w:pPr>
      <w:r>
        <w:rPr>
          <w:rStyle w:val="Fodnotehenvisning"/>
        </w:rPr>
        <w:footnoteRef/>
      </w:r>
      <w:r>
        <w:t xml:space="preserve"> Se </w:t>
      </w:r>
      <w:r w:rsidRPr="009C2DED">
        <w:t>http://www.dr.dk/diverse/drama/1864/index</w:t>
      </w:r>
    </w:p>
  </w:footnote>
  <w:footnote w:id="5">
    <w:p w:rsidR="00FE768B" w:rsidRDefault="00FE768B">
      <w:pPr>
        <w:pStyle w:val="Fodnotetekst"/>
      </w:pPr>
      <w:r>
        <w:rPr>
          <w:rStyle w:val="Fodnotehenvisning"/>
        </w:rPr>
        <w:footnoteRef/>
      </w:r>
      <w:r>
        <w:t xml:space="preserve"> Det er bl.a. blevet fremhævet at Ole Bornedals skildring af konseilspræsident Monrad er forfejlet, at skildringen af Heiberg er overfortolket, at hans krydsklipning mellem fortid (1864) og nutiden (2014) ikke virker, at han har for stor fokus på seksualitet samt at han med sin serie bevidst politiserer i forhold til nutidens kulturmøder og integrationsdebat ved at skildre sine sigøjnerkarakterer ensidigt og alt for positivt. </w:t>
      </w:r>
    </w:p>
  </w:footnote>
  <w:footnote w:id="6">
    <w:p w:rsidR="0058174F" w:rsidRDefault="0058174F">
      <w:pPr>
        <w:pStyle w:val="Fodnotetekst"/>
      </w:pPr>
      <w:r>
        <w:rPr>
          <w:rStyle w:val="Fodnotehenvisning"/>
        </w:rPr>
        <w:footnoteRef/>
      </w:r>
      <w:r>
        <w:t xml:space="preserve"> </w:t>
      </w:r>
      <w:r w:rsidRPr="0058174F">
        <w:t>http://ffm.emu.dk/maal-struktur/humanistiske-fag/historie</w:t>
      </w:r>
    </w:p>
  </w:footnote>
  <w:footnote w:id="7">
    <w:p w:rsidR="007E086C" w:rsidRDefault="007E086C">
      <w:pPr>
        <w:pStyle w:val="Fodnotetekst"/>
      </w:pPr>
      <w:r>
        <w:rPr>
          <w:rStyle w:val="Fodnotehenvisning"/>
        </w:rPr>
        <w:footnoteRef/>
      </w:r>
      <w:r>
        <w:t xml:space="preserve"> Om historiebrug se fx Winnie Færk og Jan Horn Petersen: Historie i brug – fra historieskabt til historieskabende, Frydenlund 2013</w:t>
      </w:r>
    </w:p>
  </w:footnote>
  <w:footnote w:id="8">
    <w:p w:rsidR="009C2DED" w:rsidRDefault="009C2DED">
      <w:pPr>
        <w:pStyle w:val="Fodnotetekst"/>
      </w:pPr>
      <w:r>
        <w:rPr>
          <w:rStyle w:val="Fodnotehenvisning"/>
        </w:rPr>
        <w:footnoteRef/>
      </w:r>
      <w:r>
        <w:t xml:space="preserve"> Se fx </w:t>
      </w:r>
      <w:r w:rsidRPr="009C2DED">
        <w:t>http://www.emu.dk/modul/stormen-p%C3%A5-dybb%C3%B8l-1864-en-del-af-historiekanonen</w:t>
      </w:r>
    </w:p>
  </w:footnote>
  <w:footnote w:id="9">
    <w:p w:rsidR="009C2DED" w:rsidRDefault="009C2DED">
      <w:pPr>
        <w:pStyle w:val="Fodnotetekst"/>
      </w:pPr>
      <w:r>
        <w:rPr>
          <w:rStyle w:val="Fodnotehenvisning"/>
        </w:rPr>
        <w:footnoteRef/>
      </w:r>
      <w:r>
        <w:t xml:space="preserve"> </w:t>
      </w:r>
      <w:r w:rsidRPr="009C2DED">
        <w:t>http://buk-swienty.com/1864-2/</w:t>
      </w:r>
    </w:p>
  </w:footnote>
  <w:footnote w:id="10">
    <w:p w:rsidR="0055739B" w:rsidRDefault="0055739B">
      <w:pPr>
        <w:pStyle w:val="Fodnotetekst"/>
      </w:pPr>
      <w:r>
        <w:rPr>
          <w:rStyle w:val="Fodnotehenvisning"/>
        </w:rPr>
        <w:footnoteRef/>
      </w:r>
      <w:r>
        <w:t xml:space="preserve"> Serien udkommer i 2015 i en forkortet udgave som en spillefilm, som måske vil være mere anvendelig i historieundervisningen, da det er næsten umuligt at arbejde med serien i sin helhed i undervisningen pga. dens længde og omfang.  </w:t>
      </w:r>
    </w:p>
  </w:footnote>
  <w:footnote w:id="11">
    <w:p w:rsidR="003862A6" w:rsidRDefault="003862A6">
      <w:pPr>
        <w:pStyle w:val="Fodnotetekst"/>
      </w:pPr>
      <w:r>
        <w:rPr>
          <w:rStyle w:val="Fodnotehenvisning"/>
        </w:rPr>
        <w:footnoteRef/>
      </w:r>
      <w:r>
        <w:t xml:space="preserve"> Se fx </w:t>
      </w:r>
      <w:hyperlink r:id="rId4" w:history="1">
        <w:r w:rsidRPr="00B4401D">
          <w:rPr>
            <w:rStyle w:val="Hyperlink"/>
          </w:rPr>
          <w:t>http://www.b.dk/nationalt/pia-kjaersgaard-jeg-er-dybt-rystet-over-1864-serien</w:t>
        </w:r>
      </w:hyperlink>
      <w:r>
        <w:t xml:space="preserve"> og </w:t>
      </w:r>
      <w:r w:rsidRPr="003862A6">
        <w:t>http://www.bt.dk/film-og-tv/df-politiker-sabler-dr-dramaet-1864-ned-det-er-pinligt</w:t>
      </w:r>
    </w:p>
  </w:footnote>
  <w:footnote w:id="12">
    <w:p w:rsidR="00087633" w:rsidRDefault="00087633">
      <w:pPr>
        <w:pStyle w:val="Fodnotetekst"/>
      </w:pPr>
      <w:r>
        <w:rPr>
          <w:rStyle w:val="Fodnotehenvisning"/>
        </w:rPr>
        <w:footnoteRef/>
      </w:r>
      <w:r>
        <w:t xml:space="preserve"> Se fx Herman Bang: Tine, 1889; P.F. Rist: En rekrut fra 64, 1989; Claes Johansen: Fodfolk, Hovedland 1997; Hanne Reintoft: Nederlagets børn, </w:t>
      </w:r>
      <w:proofErr w:type="spellStart"/>
      <w:r>
        <w:t>People´s</w:t>
      </w:r>
      <w:proofErr w:type="spellEnd"/>
      <w:r>
        <w:t xml:space="preserve"> Press 2014 – se også Tom Buk-</w:t>
      </w:r>
      <w:proofErr w:type="spellStart"/>
      <w:r>
        <w:t>Swientys</w:t>
      </w:r>
      <w:proofErr w:type="spellEnd"/>
      <w:r>
        <w:t xml:space="preserve"> bøger om kaptajn Dinesen.</w:t>
      </w:r>
    </w:p>
  </w:footnote>
  <w:footnote w:id="13">
    <w:p w:rsidR="00BE7B77" w:rsidRDefault="00BE7B77">
      <w:pPr>
        <w:pStyle w:val="Fodnotetekst"/>
      </w:pPr>
      <w:r>
        <w:rPr>
          <w:rStyle w:val="Fodnotehenvisning"/>
        </w:rPr>
        <w:footnoteRef/>
      </w:r>
      <w:r>
        <w:t xml:space="preserve"> </w:t>
      </w:r>
      <w:r w:rsidRPr="00BE7B77">
        <w:t>https://www.youtube.com/watch?v=Re25F20eXGo</w:t>
      </w:r>
    </w:p>
  </w:footnote>
  <w:footnote w:id="14">
    <w:p w:rsidR="003862A6" w:rsidRDefault="003862A6">
      <w:pPr>
        <w:pStyle w:val="Fodnotetekst"/>
      </w:pPr>
      <w:r>
        <w:rPr>
          <w:rStyle w:val="Fodnotehenvisning"/>
        </w:rPr>
        <w:footnoteRef/>
      </w:r>
      <w:r>
        <w:t xml:space="preserve"> </w:t>
      </w:r>
      <w:r w:rsidRPr="003862A6">
        <w:t>http://www.meloni.dk/varekort.php?id=238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E4"/>
    <w:rsid w:val="00053224"/>
    <w:rsid w:val="00082B4D"/>
    <w:rsid w:val="00087633"/>
    <w:rsid w:val="000D0546"/>
    <w:rsid w:val="000D215D"/>
    <w:rsid w:val="001C489B"/>
    <w:rsid w:val="001D083C"/>
    <w:rsid w:val="001F663F"/>
    <w:rsid w:val="002F4862"/>
    <w:rsid w:val="003070C3"/>
    <w:rsid w:val="003862A6"/>
    <w:rsid w:val="00390FA5"/>
    <w:rsid w:val="004456F8"/>
    <w:rsid w:val="004E10CF"/>
    <w:rsid w:val="004E4921"/>
    <w:rsid w:val="00511C78"/>
    <w:rsid w:val="0055739B"/>
    <w:rsid w:val="0056139A"/>
    <w:rsid w:val="0058174F"/>
    <w:rsid w:val="005C2E40"/>
    <w:rsid w:val="00696FF7"/>
    <w:rsid w:val="0070641D"/>
    <w:rsid w:val="007910E4"/>
    <w:rsid w:val="007937C6"/>
    <w:rsid w:val="007E086C"/>
    <w:rsid w:val="0081552E"/>
    <w:rsid w:val="00826C14"/>
    <w:rsid w:val="00867F82"/>
    <w:rsid w:val="008A032B"/>
    <w:rsid w:val="0090565E"/>
    <w:rsid w:val="009868E1"/>
    <w:rsid w:val="009C2DED"/>
    <w:rsid w:val="009E1D88"/>
    <w:rsid w:val="00A8564F"/>
    <w:rsid w:val="00A94A5D"/>
    <w:rsid w:val="00AA3E00"/>
    <w:rsid w:val="00B37FF1"/>
    <w:rsid w:val="00BA01F2"/>
    <w:rsid w:val="00BD75C1"/>
    <w:rsid w:val="00BE7B77"/>
    <w:rsid w:val="00D2794B"/>
    <w:rsid w:val="00E07733"/>
    <w:rsid w:val="00E51B2C"/>
    <w:rsid w:val="00F208B4"/>
    <w:rsid w:val="00F2431A"/>
    <w:rsid w:val="00F60A29"/>
    <w:rsid w:val="00F87B98"/>
    <w:rsid w:val="00F92339"/>
    <w:rsid w:val="00F92F6D"/>
    <w:rsid w:val="00FA7A25"/>
    <w:rsid w:val="00FD0EB3"/>
    <w:rsid w:val="00FE76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5817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8174F"/>
    <w:rPr>
      <w:sz w:val="20"/>
      <w:szCs w:val="20"/>
    </w:rPr>
  </w:style>
  <w:style w:type="character" w:styleId="Fodnotehenvisning">
    <w:name w:val="footnote reference"/>
    <w:basedOn w:val="Standardskrifttypeiafsnit"/>
    <w:uiPriority w:val="99"/>
    <w:semiHidden/>
    <w:unhideWhenUsed/>
    <w:rsid w:val="0058174F"/>
    <w:rPr>
      <w:vertAlign w:val="superscript"/>
    </w:rPr>
  </w:style>
  <w:style w:type="character" w:styleId="Hyperlink">
    <w:name w:val="Hyperlink"/>
    <w:basedOn w:val="Standardskrifttypeiafsnit"/>
    <w:uiPriority w:val="99"/>
    <w:unhideWhenUsed/>
    <w:rsid w:val="003862A6"/>
    <w:rPr>
      <w:color w:val="0000FF" w:themeColor="hyperlink"/>
      <w:u w:val="single"/>
    </w:rPr>
  </w:style>
  <w:style w:type="paragraph" w:styleId="Markeringsbobletekst">
    <w:name w:val="Balloon Text"/>
    <w:basedOn w:val="Normal"/>
    <w:link w:val="MarkeringsbobletekstTegn"/>
    <w:uiPriority w:val="99"/>
    <w:semiHidden/>
    <w:unhideWhenUsed/>
    <w:rsid w:val="007064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58174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8174F"/>
    <w:rPr>
      <w:sz w:val="20"/>
      <w:szCs w:val="20"/>
    </w:rPr>
  </w:style>
  <w:style w:type="character" w:styleId="Fodnotehenvisning">
    <w:name w:val="footnote reference"/>
    <w:basedOn w:val="Standardskrifttypeiafsnit"/>
    <w:uiPriority w:val="99"/>
    <w:semiHidden/>
    <w:unhideWhenUsed/>
    <w:rsid w:val="0058174F"/>
    <w:rPr>
      <w:vertAlign w:val="superscript"/>
    </w:rPr>
  </w:style>
  <w:style w:type="character" w:styleId="Hyperlink">
    <w:name w:val="Hyperlink"/>
    <w:basedOn w:val="Standardskrifttypeiafsnit"/>
    <w:uiPriority w:val="99"/>
    <w:unhideWhenUsed/>
    <w:rsid w:val="003862A6"/>
    <w:rPr>
      <w:color w:val="0000FF" w:themeColor="hyperlink"/>
      <w:u w:val="single"/>
    </w:rPr>
  </w:style>
  <w:style w:type="paragraph" w:styleId="Markeringsbobletekst">
    <w:name w:val="Balloon Text"/>
    <w:basedOn w:val="Normal"/>
    <w:link w:val="MarkeringsbobletekstTegn"/>
    <w:uiPriority w:val="99"/>
    <w:semiHidden/>
    <w:unhideWhenUsed/>
    <w:rsid w:val="007064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06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risteligt-dagblad.dk/danmark/storstilet-markering-af-slaget-ved-dybb&#248;l" TargetMode="External"/><Relationship Id="rId2" Type="http://schemas.openxmlformats.org/officeDocument/2006/relationships/hyperlink" Target="http://1864dage.dk/" TargetMode="External"/><Relationship Id="rId1" Type="http://schemas.openxmlformats.org/officeDocument/2006/relationships/hyperlink" Target="http://www.dybboel2014.dk/media/53249/dybboel-2014.pdf" TargetMode="External"/><Relationship Id="rId4" Type="http://schemas.openxmlformats.org/officeDocument/2006/relationships/hyperlink" Target="http://www.b.dk/nationalt/pia-kjaersgaard-jeg-er-dybt-rystet-over-1864-seri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2AB9-42D3-4722-91B7-F3143EB5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12383</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dcterms:created xsi:type="dcterms:W3CDTF">2014-11-18T09:18:00Z</dcterms:created>
  <dcterms:modified xsi:type="dcterms:W3CDTF">2014-11-18T09:18:00Z</dcterms:modified>
</cp:coreProperties>
</file>